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CDFA5" w14:textId="599D86EC" w:rsidR="0064777F" w:rsidRPr="00FD6A2B" w:rsidRDefault="0064777F" w:rsidP="008838DB">
      <w:pPr>
        <w:pStyle w:val="Title"/>
        <w:spacing w:after="120" w:line="240" w:lineRule="auto"/>
        <w:rPr>
          <w:color w:val="000000" w:themeColor="text1"/>
          <w:sz w:val="20"/>
          <w:szCs w:val="20"/>
        </w:rPr>
      </w:pPr>
      <w:r w:rsidRPr="00FD6A2B">
        <w:rPr>
          <w:color w:val="000000" w:themeColor="text1"/>
          <w:sz w:val="20"/>
          <w:szCs w:val="20"/>
        </w:rPr>
        <w:t>NOTĂ DE FUNDAMENTARE</w:t>
      </w:r>
    </w:p>
    <w:p w14:paraId="0448C4F0" w14:textId="77777777" w:rsidR="00223491" w:rsidRPr="00FD6A2B" w:rsidRDefault="00223491" w:rsidP="001C737C">
      <w:pPr>
        <w:pStyle w:val="Title"/>
        <w:spacing w:after="120" w:line="240" w:lineRule="auto"/>
        <w:jc w:val="left"/>
        <w:rPr>
          <w:color w:val="000000" w:themeColor="text1"/>
          <w:sz w:val="20"/>
          <w:szCs w:val="20"/>
        </w:rPr>
      </w:pPr>
      <w:r w:rsidRPr="00FD6A2B">
        <w:rPr>
          <w:color w:val="000000" w:themeColor="text1"/>
          <w:sz w:val="20"/>
          <w:szCs w:val="20"/>
        </w:rPr>
        <w:t>Secțiunea 1</w:t>
      </w:r>
    </w:p>
    <w:p w14:paraId="78C75447" w14:textId="76B7EDCC" w:rsidR="00223491" w:rsidRPr="00FD6A2B" w:rsidRDefault="00223491" w:rsidP="001C737C">
      <w:pPr>
        <w:pStyle w:val="Title"/>
        <w:spacing w:after="120" w:line="240" w:lineRule="auto"/>
        <w:jc w:val="left"/>
        <w:rPr>
          <w:color w:val="000000" w:themeColor="text1"/>
          <w:sz w:val="20"/>
          <w:szCs w:val="20"/>
        </w:rPr>
      </w:pPr>
      <w:r w:rsidRPr="00FD6A2B">
        <w:rPr>
          <w:color w:val="000000" w:themeColor="text1"/>
          <w:sz w:val="20"/>
          <w:szCs w:val="20"/>
        </w:rPr>
        <w:t>Titlul proiectului de act normativ</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FD6A2B" w:rsidRPr="00FD6A2B" w14:paraId="117C71DD" w14:textId="77777777" w:rsidTr="00223491">
        <w:tc>
          <w:tcPr>
            <w:tcW w:w="10490" w:type="dxa"/>
          </w:tcPr>
          <w:p w14:paraId="756E6EEF" w14:textId="77777777" w:rsidR="0038250D" w:rsidRPr="00FD6A2B" w:rsidRDefault="00902751" w:rsidP="00470854">
            <w:pPr>
              <w:jc w:val="center"/>
              <w:rPr>
                <w:b/>
                <w:color w:val="000000" w:themeColor="text1"/>
                <w:sz w:val="20"/>
                <w:szCs w:val="20"/>
                <w:lang w:eastAsia="ro-RO"/>
              </w:rPr>
            </w:pPr>
            <w:r w:rsidRPr="00FD6A2B">
              <w:rPr>
                <w:b/>
                <w:color w:val="000000" w:themeColor="text1"/>
                <w:sz w:val="20"/>
                <w:szCs w:val="20"/>
                <w:lang w:eastAsia="ro-RO"/>
              </w:rPr>
              <w:t>ORDONANȚĂ DE URGENȚĂ</w:t>
            </w:r>
            <w:r w:rsidR="00B06E62" w:rsidRPr="00FD6A2B">
              <w:rPr>
                <w:b/>
                <w:color w:val="000000" w:themeColor="text1"/>
                <w:sz w:val="20"/>
                <w:szCs w:val="20"/>
                <w:lang w:eastAsia="ro-RO"/>
              </w:rPr>
              <w:t xml:space="preserve"> </w:t>
            </w:r>
          </w:p>
          <w:p w14:paraId="338F09EC" w14:textId="5A5518EC" w:rsidR="00FD6A2B" w:rsidRPr="00FD6A2B" w:rsidRDefault="00145BD2" w:rsidP="00FD6A2B">
            <w:pPr>
              <w:jc w:val="center"/>
              <w:rPr>
                <w:b/>
                <w:color w:val="000000" w:themeColor="text1"/>
                <w:sz w:val="20"/>
                <w:szCs w:val="20"/>
              </w:rPr>
            </w:pPr>
            <w:bookmarkStart w:id="0" w:name="_Hlk131181076"/>
            <w:r w:rsidRPr="00FD6A2B">
              <w:rPr>
                <w:b/>
                <w:color w:val="000000" w:themeColor="text1"/>
                <w:sz w:val="20"/>
                <w:szCs w:val="20"/>
              </w:rPr>
              <w:t>privind stabilirea cadrului general pentru închiderea programelor operaționale finanțate în perioada de programare 2014-2020</w:t>
            </w:r>
            <w:bookmarkEnd w:id="0"/>
          </w:p>
        </w:tc>
      </w:tr>
    </w:tbl>
    <w:p w14:paraId="069CE14F" w14:textId="77777777" w:rsidR="00FA5616" w:rsidRPr="00FD6A2B" w:rsidRDefault="00FA5616" w:rsidP="00FA5616">
      <w:pPr>
        <w:jc w:val="both"/>
        <w:rPr>
          <w:b/>
          <w:color w:val="000000" w:themeColor="text1"/>
          <w:sz w:val="20"/>
          <w:szCs w:val="20"/>
          <w:lang w:eastAsia="ro-RO"/>
        </w:rPr>
      </w:pPr>
    </w:p>
    <w:p w14:paraId="33C1CD30" w14:textId="6FC2289C" w:rsidR="00223491" w:rsidRPr="00FD6A2B" w:rsidRDefault="00C5468F" w:rsidP="001C737C">
      <w:pPr>
        <w:spacing w:after="120"/>
        <w:jc w:val="both"/>
        <w:rPr>
          <w:b/>
          <w:color w:val="000000" w:themeColor="text1"/>
          <w:sz w:val="20"/>
          <w:szCs w:val="20"/>
          <w:lang w:eastAsia="ro-RO"/>
        </w:rPr>
      </w:pPr>
      <w:r w:rsidRPr="00FD6A2B">
        <w:rPr>
          <w:b/>
          <w:color w:val="000000" w:themeColor="text1"/>
          <w:sz w:val="20"/>
          <w:szCs w:val="20"/>
          <w:lang w:eastAsia="ro-RO"/>
        </w:rPr>
        <w:t>Secțiunea</w:t>
      </w:r>
      <w:r w:rsidR="00670C79" w:rsidRPr="00FD6A2B">
        <w:rPr>
          <w:b/>
          <w:color w:val="000000" w:themeColor="text1"/>
          <w:sz w:val="20"/>
          <w:szCs w:val="20"/>
          <w:lang w:eastAsia="ro-RO"/>
        </w:rPr>
        <w:t xml:space="preserve"> a 2-a  </w:t>
      </w:r>
    </w:p>
    <w:p w14:paraId="23181ACA" w14:textId="4A5ED943" w:rsidR="00CB78C4" w:rsidRPr="00FD6A2B" w:rsidRDefault="00670C79" w:rsidP="001C737C">
      <w:pPr>
        <w:spacing w:after="120"/>
        <w:jc w:val="both"/>
        <w:rPr>
          <w:b/>
          <w:color w:val="000000" w:themeColor="text1"/>
          <w:sz w:val="20"/>
          <w:szCs w:val="20"/>
          <w:lang w:eastAsia="ro-RO"/>
        </w:rPr>
      </w:pPr>
      <w:r w:rsidRPr="00FD6A2B">
        <w:rPr>
          <w:b/>
          <w:color w:val="000000" w:themeColor="text1"/>
          <w:sz w:val="20"/>
          <w:szCs w:val="20"/>
          <w:lang w:eastAsia="ro-RO"/>
        </w:rPr>
        <w:t>Motivul emiterii actului normativ</w:t>
      </w:r>
      <w:r w:rsidR="0066428B" w:rsidRPr="00FD6A2B">
        <w:rPr>
          <w:b/>
          <w:color w:val="000000" w:themeColor="text1"/>
          <w:sz w:val="20"/>
          <w:szCs w:val="20"/>
          <w:lang w:eastAsia="ro-RO"/>
        </w:rPr>
        <w:t xml:space="preserve"> </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FD6A2B" w:rsidRPr="00FD6A2B" w14:paraId="47D7FD1D" w14:textId="77777777" w:rsidTr="00BC06F9">
        <w:trPr>
          <w:trHeight w:val="841"/>
        </w:trPr>
        <w:tc>
          <w:tcPr>
            <w:tcW w:w="10490" w:type="dxa"/>
          </w:tcPr>
          <w:p w14:paraId="002C817A" w14:textId="6A262478" w:rsidR="00622505" w:rsidRPr="00FD6A2B" w:rsidRDefault="00622505" w:rsidP="00622505">
            <w:pPr>
              <w:autoSpaceDE w:val="0"/>
              <w:autoSpaceDN w:val="0"/>
              <w:adjustRightInd w:val="0"/>
              <w:spacing w:after="120"/>
              <w:jc w:val="both"/>
              <w:rPr>
                <w:color w:val="000000" w:themeColor="text1"/>
                <w:sz w:val="20"/>
                <w:szCs w:val="20"/>
                <w:lang w:eastAsia="ro-RO"/>
              </w:rPr>
            </w:pPr>
            <w:r w:rsidRPr="00FD6A2B">
              <w:rPr>
                <w:b/>
                <w:color w:val="000000" w:themeColor="text1"/>
                <w:sz w:val="20"/>
                <w:szCs w:val="20"/>
                <w:lang w:eastAsia="ro-RO"/>
              </w:rPr>
              <w:t>2.1 Sursa proiectului de act normativ</w:t>
            </w:r>
            <w:r w:rsidRPr="00FD6A2B">
              <w:rPr>
                <w:color w:val="000000" w:themeColor="text1"/>
                <w:sz w:val="20"/>
                <w:szCs w:val="20"/>
                <w:lang w:eastAsia="ro-RO"/>
              </w:rPr>
              <w:t xml:space="preserve"> </w:t>
            </w:r>
          </w:p>
          <w:p w14:paraId="063E7CFF" w14:textId="57171A86" w:rsidR="002559C0" w:rsidRPr="00FD6A2B" w:rsidRDefault="002559C0" w:rsidP="002559C0">
            <w:pPr>
              <w:autoSpaceDE w:val="0"/>
              <w:autoSpaceDN w:val="0"/>
              <w:adjustRightInd w:val="0"/>
              <w:spacing w:after="120"/>
              <w:jc w:val="both"/>
              <w:rPr>
                <w:color w:val="000000" w:themeColor="text1"/>
                <w:sz w:val="20"/>
                <w:szCs w:val="20"/>
                <w:highlight w:val="yellow"/>
                <w:lang w:eastAsia="ro-RO"/>
              </w:rPr>
            </w:pPr>
            <w:r w:rsidRPr="00FD6A2B">
              <w:rPr>
                <w:color w:val="000000" w:themeColor="text1"/>
                <w:sz w:val="20"/>
                <w:szCs w:val="20"/>
                <w:lang w:eastAsia="ro-RO"/>
              </w:rPr>
              <w:t>Prezenta ordonanță de urgență reglementează cadrul general, privind măsurile, activitățile, condițiile și termenele generale care trebuie respectate de către toate structurile implicate în închiderea programelor operaționale finanțate în perioada de programare 2014-2020 din Fondul European de Dezvoltare Regională, Fondul Social European, Fondul de Coeziune și Fondul  European pentru Pescuit și Afaceri Maritime</w:t>
            </w:r>
            <w:r w:rsidR="00172C75" w:rsidRPr="00FD6A2B">
              <w:rPr>
                <w:color w:val="000000" w:themeColor="text1"/>
                <w:sz w:val="20"/>
                <w:szCs w:val="20"/>
                <w:lang w:eastAsia="ro-RO"/>
              </w:rPr>
              <w:t>, precum și din Fondurl de ajutor european pentru cele mai defavorizate persoane</w:t>
            </w:r>
            <w:r w:rsidRPr="00FD6A2B">
              <w:rPr>
                <w:color w:val="000000" w:themeColor="text1"/>
                <w:sz w:val="20"/>
                <w:szCs w:val="20"/>
                <w:lang w:eastAsia="ro-RO"/>
              </w:rPr>
              <w:t xml:space="preserve">. </w:t>
            </w:r>
          </w:p>
          <w:p w14:paraId="12F8F184" w14:textId="3936E613" w:rsidR="002559C0" w:rsidRPr="00FD6A2B" w:rsidRDefault="002559C0" w:rsidP="002559C0">
            <w:pPr>
              <w:autoSpaceDE w:val="0"/>
              <w:autoSpaceDN w:val="0"/>
              <w:adjustRightInd w:val="0"/>
              <w:spacing w:after="120"/>
              <w:jc w:val="both"/>
              <w:rPr>
                <w:color w:val="000000" w:themeColor="text1"/>
                <w:sz w:val="20"/>
                <w:szCs w:val="20"/>
                <w:lang w:eastAsia="ro-RO"/>
              </w:rPr>
            </w:pPr>
            <w:r w:rsidRPr="00FD6A2B">
              <w:rPr>
                <w:color w:val="000000" w:themeColor="text1"/>
                <w:sz w:val="20"/>
                <w:szCs w:val="20"/>
                <w:lang w:eastAsia="ro-RO"/>
              </w:rPr>
              <w:t>Prevederile prezentei ordonanțe de urgență se aplică și Programului Interreg IPA CBC România-Serbia 2014-2020, finanțat în cadrul Obiectivului Cooperare Teritorială Europeană.</w:t>
            </w:r>
          </w:p>
          <w:p w14:paraId="5E308CA6" w14:textId="16FF73C0" w:rsidR="002559C0" w:rsidRPr="00FD6A2B" w:rsidRDefault="002559C0" w:rsidP="002559C0">
            <w:pPr>
              <w:autoSpaceDE w:val="0"/>
              <w:autoSpaceDN w:val="0"/>
              <w:adjustRightInd w:val="0"/>
              <w:spacing w:after="120"/>
              <w:jc w:val="both"/>
              <w:rPr>
                <w:color w:val="000000" w:themeColor="text1"/>
                <w:sz w:val="20"/>
                <w:szCs w:val="20"/>
                <w:lang w:eastAsia="ro-RO"/>
              </w:rPr>
            </w:pPr>
            <w:r w:rsidRPr="00FD6A2B">
              <w:rPr>
                <w:color w:val="000000" w:themeColor="text1"/>
                <w:sz w:val="20"/>
                <w:szCs w:val="20"/>
                <w:lang w:eastAsia="ro-RO"/>
              </w:rPr>
              <w:t>Pentru perioada 2014-2020, România are la dispoziție peste 49 miliarde euro, conform Cadrului Financiar Multianual 2014-2020, din care alocarea pentru Fondurile Europene Structurale și de Investiții (FESI) este de aprox. 35,2 miliarde euro, respectiv alocarea Fondului de Ajutor European pentru cele mai Defavorizate Persoane (FEAD) este de aprox. 441 mil euro, la care se adaugă Instrumentul de Asistență pentru Preaderare (IPA II), cu o alocare dedicată programului de cooperare transfrontalieră România – Serbia în valoare de aprox. 75 milioane euro. Alocarea pentru Politica de Coeziune, finanțată în cadrul FESI, este de aprox. 24,1 miliarde euro.</w:t>
            </w:r>
          </w:p>
          <w:p w14:paraId="01CACBB5" w14:textId="3E44E560" w:rsidR="0064796D" w:rsidRPr="00FD6A2B" w:rsidRDefault="002559C0" w:rsidP="002559C0">
            <w:pPr>
              <w:autoSpaceDE w:val="0"/>
              <w:autoSpaceDN w:val="0"/>
              <w:adjustRightInd w:val="0"/>
              <w:spacing w:after="120"/>
              <w:jc w:val="both"/>
              <w:rPr>
                <w:color w:val="000000" w:themeColor="text1"/>
                <w:sz w:val="20"/>
                <w:szCs w:val="20"/>
              </w:rPr>
            </w:pPr>
            <w:r w:rsidRPr="00FD6A2B">
              <w:rPr>
                <w:color w:val="000000" w:themeColor="text1"/>
                <w:sz w:val="20"/>
                <w:szCs w:val="20"/>
                <w:lang w:eastAsia="ro-RO"/>
              </w:rPr>
              <w:t xml:space="preserve">Condițiile de închidere a </w:t>
            </w:r>
            <w:r w:rsidR="004314A5" w:rsidRPr="00FD6A2B">
              <w:rPr>
                <w:color w:val="000000" w:themeColor="text1"/>
                <w:sz w:val="20"/>
                <w:szCs w:val="20"/>
                <w:lang w:eastAsia="ro-RO"/>
              </w:rPr>
              <w:t>perioadei de programare 2014 - 2020 sunt prevăzute în Orientările Comisiei Europene nr. 2022/C 474/01</w:t>
            </w:r>
            <w:r w:rsidR="004314A5" w:rsidRPr="00FD6A2B">
              <w:rPr>
                <w:color w:val="000000" w:themeColor="text1"/>
                <w:sz w:val="20"/>
                <w:szCs w:val="20"/>
              </w:rPr>
              <w:t xml:space="preserve">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 publicate în Jurnalul Oficial al Uniunii Europene în data de 14.12.2022, </w:t>
            </w:r>
            <w:r w:rsidR="00C8490B" w:rsidRPr="00FD6A2B">
              <w:rPr>
                <w:color w:val="000000" w:themeColor="text1"/>
                <w:sz w:val="20"/>
                <w:szCs w:val="20"/>
              </w:rPr>
              <w:t xml:space="preserve">Capitolul II - </w:t>
            </w:r>
            <w:r w:rsidR="00C8490B" w:rsidRPr="00FD6A2B">
              <w:rPr>
                <w:rStyle w:val="markedcontent"/>
                <w:i/>
                <w:iCs/>
                <w:color w:val="000000" w:themeColor="text1"/>
                <w:sz w:val="20"/>
                <w:szCs w:val="20"/>
              </w:rPr>
              <w:t>Pregătirea, examinarea, și acceptarea conturilor, închiderea programelor operaționale și suspendarea plăților</w:t>
            </w:r>
            <w:r w:rsidR="00C8490B" w:rsidRPr="00FD6A2B">
              <w:rPr>
                <w:color w:val="000000" w:themeColor="text1"/>
                <w:sz w:val="20"/>
                <w:szCs w:val="20"/>
              </w:rPr>
              <w:t xml:space="preserve">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publicat în Jurnalul Oficial al Uniunii Europene, seria L, nr. 347 din 20 decembrie 2013, </w:t>
            </w:r>
            <w:r w:rsidR="004314A5" w:rsidRPr="00FD6A2B">
              <w:rPr>
                <w:color w:val="000000" w:themeColor="text1"/>
                <w:sz w:val="20"/>
                <w:szCs w:val="20"/>
              </w:rPr>
              <w:t>precum și conform art.118 și 118 a)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64796D" w:rsidRPr="00FD6A2B">
              <w:rPr>
                <w:color w:val="000000" w:themeColor="text1"/>
                <w:sz w:val="20"/>
                <w:szCs w:val="20"/>
              </w:rPr>
              <w:t>.</w:t>
            </w:r>
          </w:p>
          <w:p w14:paraId="5EBC865E" w14:textId="77777777" w:rsidR="0069300C" w:rsidRPr="00FD6A2B" w:rsidRDefault="0064796D" w:rsidP="002559C0">
            <w:pPr>
              <w:autoSpaceDE w:val="0"/>
              <w:autoSpaceDN w:val="0"/>
              <w:adjustRightInd w:val="0"/>
              <w:spacing w:after="120"/>
              <w:jc w:val="both"/>
              <w:rPr>
                <w:color w:val="000000" w:themeColor="text1"/>
                <w:sz w:val="20"/>
                <w:szCs w:val="20"/>
                <w:lang w:eastAsia="ro-RO"/>
              </w:rPr>
            </w:pPr>
            <w:r w:rsidRPr="00FD6A2B">
              <w:rPr>
                <w:color w:val="000000" w:themeColor="text1"/>
                <w:sz w:val="20"/>
                <w:szCs w:val="20"/>
                <w:lang w:eastAsia="ro-RO"/>
              </w:rPr>
              <w:t>Prezenta ordonanță de urgență se corelează cu reglementările europene și instituie o serie de măsuri necesare pentru a asigura continuitatea implementării proiectelor cu finanțare din fonduri europene în perioada de programare 2021 – 2027.</w:t>
            </w:r>
          </w:p>
          <w:p w14:paraId="777690A7" w14:textId="0BFF8ADA" w:rsidR="00223491" w:rsidRPr="00FD6A2B" w:rsidRDefault="0064796D" w:rsidP="008838DB">
            <w:pPr>
              <w:autoSpaceDE w:val="0"/>
              <w:autoSpaceDN w:val="0"/>
              <w:adjustRightInd w:val="0"/>
              <w:spacing w:after="120"/>
              <w:jc w:val="both"/>
              <w:rPr>
                <w:b/>
                <w:color w:val="000000" w:themeColor="text1"/>
                <w:sz w:val="20"/>
                <w:szCs w:val="20"/>
                <w:lang w:eastAsia="ro-RO"/>
              </w:rPr>
            </w:pPr>
            <w:r w:rsidRPr="00FD6A2B">
              <w:rPr>
                <w:color w:val="000000" w:themeColor="text1"/>
                <w:sz w:val="20"/>
                <w:szCs w:val="20"/>
                <w:lang w:eastAsia="ro-RO"/>
              </w:rPr>
              <w:t xml:space="preserve"> </w:t>
            </w:r>
            <w:r w:rsidR="00223491" w:rsidRPr="00FD6A2B">
              <w:rPr>
                <w:b/>
                <w:color w:val="000000" w:themeColor="text1"/>
                <w:sz w:val="20"/>
                <w:szCs w:val="20"/>
                <w:lang w:eastAsia="ro-RO"/>
              </w:rPr>
              <w:t>2.2 Descrierea situației actuale</w:t>
            </w:r>
          </w:p>
          <w:p w14:paraId="14BCC63A" w14:textId="77777777" w:rsidR="003774FD" w:rsidRPr="00FD6A2B" w:rsidRDefault="003774FD" w:rsidP="003774FD">
            <w:pPr>
              <w:autoSpaceDE w:val="0"/>
              <w:autoSpaceDN w:val="0"/>
              <w:adjustRightInd w:val="0"/>
              <w:spacing w:after="120"/>
              <w:jc w:val="both"/>
              <w:rPr>
                <w:color w:val="000000" w:themeColor="text1"/>
                <w:sz w:val="20"/>
                <w:szCs w:val="20"/>
                <w:lang w:eastAsia="ro-RO"/>
              </w:rPr>
            </w:pPr>
            <w:r w:rsidRPr="00FD6A2B">
              <w:rPr>
                <w:color w:val="000000" w:themeColor="text1"/>
                <w:sz w:val="20"/>
                <w:szCs w:val="20"/>
                <w:lang w:eastAsia="ro-RO"/>
              </w:rPr>
              <w:t>Pentru perioada 2014-2020, România are la dispoziție peste 49 miliarde euro, conform Cadrului Financiar Multianual 2014-2020, din care alocarea pentru Fondurile Europene Structurale și de Investiții (FESI) este de aprox. 35,2 miliarde euro, respectiv alocarea Fondului de Ajutor European pentru cele mai Defavorizate Persoane (FEAD) este de aprox. 441 mil euro, la care se adaugă Instrumentul de Asistență pentru Preaderare (IPA II), cu o alocare dedicată programului de cooperare transfrontalieră România – Serbia în valoare de aprox. 75 milioane euro. Alocarea pentru Politica de Coeziune, finanțată în cadrul FESI, este de aprox. 24,1 miliarde euro</w:t>
            </w:r>
          </w:p>
          <w:p w14:paraId="7B42228F" w14:textId="39C7B0D9" w:rsidR="0064796D" w:rsidRPr="00FD6A2B" w:rsidRDefault="003774FD" w:rsidP="003774FD">
            <w:pPr>
              <w:autoSpaceDE w:val="0"/>
              <w:autoSpaceDN w:val="0"/>
              <w:adjustRightInd w:val="0"/>
              <w:spacing w:after="120"/>
              <w:jc w:val="both"/>
              <w:rPr>
                <w:color w:val="000000" w:themeColor="text1"/>
                <w:sz w:val="20"/>
                <w:szCs w:val="20"/>
                <w:lang w:eastAsia="ro-RO"/>
              </w:rPr>
            </w:pPr>
            <w:r w:rsidRPr="00FD6A2B">
              <w:rPr>
                <w:color w:val="000000" w:themeColor="text1"/>
                <w:sz w:val="20"/>
                <w:szCs w:val="20"/>
                <w:lang w:eastAsia="ro-RO"/>
              </w:rPr>
              <w:t>Fondurile Europene Structurale și de Investiții sunt  implementate prin opt programe operaționale, respectiv P</w:t>
            </w:r>
            <w:r w:rsidR="0064796D" w:rsidRPr="00FD6A2B">
              <w:rPr>
                <w:color w:val="000000" w:themeColor="text1"/>
                <w:sz w:val="20"/>
                <w:szCs w:val="20"/>
                <w:lang w:eastAsia="ro-RO"/>
              </w:rPr>
              <w:t xml:space="preserve">rogramul </w:t>
            </w:r>
            <w:r w:rsidRPr="00FD6A2B">
              <w:rPr>
                <w:color w:val="000000" w:themeColor="text1"/>
                <w:sz w:val="20"/>
                <w:szCs w:val="20"/>
                <w:lang w:eastAsia="ro-RO"/>
              </w:rPr>
              <w:t>O</w:t>
            </w:r>
            <w:r w:rsidR="0064796D" w:rsidRPr="00FD6A2B">
              <w:rPr>
                <w:color w:val="000000" w:themeColor="text1"/>
                <w:sz w:val="20"/>
                <w:szCs w:val="20"/>
                <w:lang w:eastAsia="ro-RO"/>
              </w:rPr>
              <w:t>perațional</w:t>
            </w:r>
            <w:r w:rsidRPr="00FD6A2B">
              <w:rPr>
                <w:color w:val="000000" w:themeColor="text1"/>
                <w:sz w:val="20"/>
                <w:szCs w:val="20"/>
                <w:lang w:eastAsia="ro-RO"/>
              </w:rPr>
              <w:t xml:space="preserve"> Infrastructura Mare, </w:t>
            </w:r>
            <w:r w:rsidR="0064796D" w:rsidRPr="00FD6A2B">
              <w:rPr>
                <w:color w:val="000000" w:themeColor="text1"/>
                <w:sz w:val="20"/>
                <w:szCs w:val="20"/>
                <w:lang w:eastAsia="ro-RO"/>
              </w:rPr>
              <w:t>Programul Operațional</w:t>
            </w:r>
            <w:r w:rsidRPr="00FD6A2B">
              <w:rPr>
                <w:color w:val="000000" w:themeColor="text1"/>
                <w:sz w:val="20"/>
                <w:szCs w:val="20"/>
                <w:lang w:eastAsia="ro-RO"/>
              </w:rPr>
              <w:t xml:space="preserve"> Competitivitate, </w:t>
            </w:r>
            <w:r w:rsidR="0064796D" w:rsidRPr="00FD6A2B">
              <w:rPr>
                <w:color w:val="000000" w:themeColor="text1"/>
                <w:sz w:val="20"/>
                <w:szCs w:val="20"/>
                <w:lang w:eastAsia="ro-RO"/>
              </w:rPr>
              <w:t>Programul Operațional</w:t>
            </w:r>
            <w:r w:rsidRPr="00FD6A2B">
              <w:rPr>
                <w:color w:val="000000" w:themeColor="text1"/>
                <w:sz w:val="20"/>
                <w:szCs w:val="20"/>
                <w:lang w:eastAsia="ro-RO"/>
              </w:rPr>
              <w:t xml:space="preserve"> Regional, </w:t>
            </w:r>
            <w:r w:rsidR="0064796D" w:rsidRPr="00FD6A2B">
              <w:rPr>
                <w:color w:val="000000" w:themeColor="text1"/>
                <w:sz w:val="20"/>
                <w:szCs w:val="20"/>
                <w:lang w:eastAsia="ro-RO"/>
              </w:rPr>
              <w:t>Programul Operațional</w:t>
            </w:r>
            <w:r w:rsidRPr="00FD6A2B">
              <w:rPr>
                <w:color w:val="000000" w:themeColor="text1"/>
                <w:sz w:val="20"/>
                <w:szCs w:val="20"/>
                <w:lang w:eastAsia="ro-RO"/>
              </w:rPr>
              <w:t xml:space="preserve"> Capacitate Administrativă, </w:t>
            </w:r>
            <w:r w:rsidR="0064796D" w:rsidRPr="00FD6A2B">
              <w:rPr>
                <w:color w:val="000000" w:themeColor="text1"/>
                <w:sz w:val="20"/>
                <w:szCs w:val="20"/>
                <w:lang w:eastAsia="ro-RO"/>
              </w:rPr>
              <w:t>Programul Operațional</w:t>
            </w:r>
            <w:r w:rsidRPr="00FD6A2B">
              <w:rPr>
                <w:color w:val="000000" w:themeColor="text1"/>
                <w:sz w:val="20"/>
                <w:szCs w:val="20"/>
                <w:lang w:eastAsia="ro-RO"/>
              </w:rPr>
              <w:t xml:space="preserve"> Asistență Tehnică, </w:t>
            </w:r>
            <w:r w:rsidR="0064796D" w:rsidRPr="00FD6A2B">
              <w:rPr>
                <w:color w:val="000000" w:themeColor="text1"/>
                <w:sz w:val="20"/>
                <w:szCs w:val="20"/>
                <w:lang w:eastAsia="ro-RO"/>
              </w:rPr>
              <w:t>Programul Operațional</w:t>
            </w:r>
            <w:r w:rsidRPr="00FD6A2B">
              <w:rPr>
                <w:color w:val="000000" w:themeColor="text1"/>
                <w:sz w:val="20"/>
                <w:szCs w:val="20"/>
                <w:lang w:eastAsia="ro-RO"/>
              </w:rPr>
              <w:t xml:space="preserve"> Capital Uman, P</w:t>
            </w:r>
            <w:r w:rsidR="0064796D" w:rsidRPr="00FD6A2B">
              <w:rPr>
                <w:color w:val="000000" w:themeColor="text1"/>
                <w:sz w:val="20"/>
                <w:szCs w:val="20"/>
                <w:lang w:eastAsia="ro-RO"/>
              </w:rPr>
              <w:t xml:space="preserve">lanul </w:t>
            </w:r>
            <w:r w:rsidRPr="00FD6A2B">
              <w:rPr>
                <w:color w:val="000000" w:themeColor="text1"/>
                <w:sz w:val="20"/>
                <w:szCs w:val="20"/>
                <w:lang w:eastAsia="ro-RO"/>
              </w:rPr>
              <w:t>N</w:t>
            </w:r>
            <w:r w:rsidR="0064796D" w:rsidRPr="00FD6A2B">
              <w:rPr>
                <w:color w:val="000000" w:themeColor="text1"/>
                <w:sz w:val="20"/>
                <w:szCs w:val="20"/>
                <w:lang w:eastAsia="ro-RO"/>
              </w:rPr>
              <w:t>ațional</w:t>
            </w:r>
            <w:r w:rsidRPr="00FD6A2B">
              <w:rPr>
                <w:color w:val="000000" w:themeColor="text1"/>
                <w:sz w:val="20"/>
                <w:szCs w:val="20"/>
                <w:lang w:eastAsia="ro-RO"/>
              </w:rPr>
              <w:t xml:space="preserve"> Dezvoltare Rurală, </w:t>
            </w:r>
            <w:r w:rsidR="0064796D" w:rsidRPr="00FD6A2B">
              <w:rPr>
                <w:color w:val="000000" w:themeColor="text1"/>
                <w:sz w:val="20"/>
                <w:szCs w:val="20"/>
                <w:lang w:eastAsia="ro-RO"/>
              </w:rPr>
              <w:t>Programul Operațional</w:t>
            </w:r>
            <w:r w:rsidRPr="00FD6A2B">
              <w:rPr>
                <w:color w:val="000000" w:themeColor="text1"/>
                <w:sz w:val="20"/>
                <w:szCs w:val="20"/>
                <w:lang w:eastAsia="ro-RO"/>
              </w:rPr>
              <w:t xml:space="preserve"> Pescuit și Afaceri Maritime. Actul normativ cuprinde dispoziții aplicabile programe</w:t>
            </w:r>
            <w:r w:rsidR="001C413B" w:rsidRPr="00FD6A2B">
              <w:rPr>
                <w:color w:val="000000" w:themeColor="text1"/>
                <w:sz w:val="20"/>
                <w:szCs w:val="20"/>
                <w:lang w:eastAsia="ro-RO"/>
              </w:rPr>
              <w:t>lor</w:t>
            </w:r>
            <w:r w:rsidRPr="00FD6A2B">
              <w:rPr>
                <w:color w:val="000000" w:themeColor="text1"/>
                <w:sz w:val="20"/>
                <w:szCs w:val="20"/>
                <w:lang w:eastAsia="ro-RO"/>
              </w:rPr>
              <w:t xml:space="preserve"> operaționale finanțate din FESI</w:t>
            </w:r>
            <w:r w:rsidR="001C413B" w:rsidRPr="00FD6A2B">
              <w:rPr>
                <w:color w:val="000000" w:themeColor="text1"/>
                <w:sz w:val="20"/>
                <w:szCs w:val="20"/>
                <w:lang w:eastAsia="ro-RO"/>
              </w:rPr>
              <w:t xml:space="preserve"> în cadrul Politicii de Coeziune</w:t>
            </w:r>
            <w:r w:rsidRPr="00FD6A2B">
              <w:rPr>
                <w:color w:val="000000" w:themeColor="text1"/>
                <w:sz w:val="20"/>
                <w:szCs w:val="20"/>
                <w:lang w:eastAsia="ro-RO"/>
              </w:rPr>
              <w:t xml:space="preserve">. </w:t>
            </w:r>
          </w:p>
          <w:p w14:paraId="290D5279" w14:textId="26BEA810" w:rsidR="003774FD" w:rsidRPr="00FD6A2B" w:rsidRDefault="003774FD" w:rsidP="003774FD">
            <w:pPr>
              <w:autoSpaceDE w:val="0"/>
              <w:autoSpaceDN w:val="0"/>
              <w:adjustRightInd w:val="0"/>
              <w:spacing w:after="120"/>
              <w:jc w:val="both"/>
              <w:rPr>
                <w:color w:val="000000" w:themeColor="text1"/>
                <w:sz w:val="20"/>
                <w:szCs w:val="20"/>
                <w:lang w:eastAsia="ro-RO"/>
              </w:rPr>
            </w:pPr>
            <w:r w:rsidRPr="00FD6A2B">
              <w:rPr>
                <w:color w:val="000000" w:themeColor="text1"/>
                <w:sz w:val="20"/>
                <w:szCs w:val="20"/>
                <w:lang w:eastAsia="ro-RO"/>
              </w:rPr>
              <w:lastRenderedPageBreak/>
              <w:t>La acestea s-au adăugat și Programul Operațional Ajutorarea Persoanelor Dezavantajate (POAD) 2014-2020, finanțat din FEAD, respectiv Programul Interreg IPA CBC România-Serbia 2014-2020, finanțat în cadrul Obiectivului Cooperare Teritorială Europeană.</w:t>
            </w:r>
          </w:p>
          <w:p w14:paraId="7F21B6A8" w14:textId="77777777" w:rsidR="003774FD" w:rsidRPr="00FD6A2B" w:rsidRDefault="003774FD" w:rsidP="003774FD">
            <w:pPr>
              <w:autoSpaceDE w:val="0"/>
              <w:autoSpaceDN w:val="0"/>
              <w:adjustRightInd w:val="0"/>
              <w:spacing w:after="120"/>
              <w:jc w:val="both"/>
              <w:rPr>
                <w:color w:val="000000" w:themeColor="text1"/>
                <w:sz w:val="20"/>
                <w:szCs w:val="20"/>
                <w:lang w:eastAsia="ro-RO"/>
              </w:rPr>
            </w:pPr>
            <w:r w:rsidRPr="00FD6A2B">
              <w:rPr>
                <w:color w:val="000000" w:themeColor="text1"/>
                <w:sz w:val="20"/>
                <w:szCs w:val="20"/>
                <w:lang w:eastAsia="ro-RO"/>
              </w:rPr>
              <w:t>Potrivit Regulamentelor UE aplicabile asistenței financiare nerambursabile a Uniunii Europene pentru perioada 2014-2020, perioada de eligibilitate a cheltuielilor efectuate în cadrul programelor se încheie la 31 decembrie 2023, iar Comisia Europeană va rambursa cheltuielile declarate până la data de 15 februarie 2025 (cu posibilitatea de prelungire până la 1 martie 2025 de către Comisie), când fiecare Stat membru are obligația transmiterii la Comisie a documentelor ce formează „pachetul de închidere”.</w:t>
            </w:r>
          </w:p>
          <w:p w14:paraId="4B694EE8" w14:textId="77777777" w:rsidR="003774FD" w:rsidRPr="00FD6A2B" w:rsidRDefault="003774FD" w:rsidP="003774FD">
            <w:pPr>
              <w:autoSpaceDE w:val="0"/>
              <w:autoSpaceDN w:val="0"/>
              <w:adjustRightInd w:val="0"/>
              <w:spacing w:after="120"/>
              <w:jc w:val="both"/>
              <w:rPr>
                <w:color w:val="000000" w:themeColor="text1"/>
                <w:sz w:val="20"/>
                <w:szCs w:val="20"/>
                <w:lang w:eastAsia="ro-RO"/>
              </w:rPr>
            </w:pPr>
            <w:r w:rsidRPr="00FD6A2B">
              <w:rPr>
                <w:color w:val="000000" w:themeColor="text1"/>
                <w:sz w:val="20"/>
                <w:szCs w:val="20"/>
                <w:lang w:eastAsia="ro-RO"/>
              </w:rPr>
              <w:t>Comisia va dezangaja automat acea parte din fonduri pentru care nu a primit pachetul de închidere până la data limită, iar închiderea programului se va realiza pe baza ultimei plăți intermediare și declarații de cheltuieli, precum și pe baza celor mai recente rapoarte anuale de execuție și de control considerate admisibile.</w:t>
            </w:r>
          </w:p>
          <w:p w14:paraId="2204E822" w14:textId="77777777" w:rsidR="003774FD" w:rsidRPr="00FD6A2B" w:rsidRDefault="003774FD" w:rsidP="003774FD">
            <w:pPr>
              <w:autoSpaceDE w:val="0"/>
              <w:autoSpaceDN w:val="0"/>
              <w:adjustRightInd w:val="0"/>
              <w:spacing w:after="120"/>
              <w:jc w:val="both"/>
              <w:rPr>
                <w:color w:val="000000" w:themeColor="text1"/>
                <w:sz w:val="20"/>
                <w:szCs w:val="20"/>
                <w:lang w:eastAsia="ro-RO"/>
              </w:rPr>
            </w:pPr>
            <w:r w:rsidRPr="00FD6A2B">
              <w:rPr>
                <w:color w:val="000000" w:themeColor="text1"/>
                <w:sz w:val="20"/>
                <w:szCs w:val="20"/>
                <w:lang w:eastAsia="ro-RO"/>
              </w:rPr>
              <w:t xml:space="preserve">Nedepunerea raportului final de implementare și a declarației de închidere indică deficiențe grave în sistemul de gestionare și control al programului, care pun în pericol contribuția UE care a fost deja acordată programului, Comisia putând aplica o corecție financiară. </w:t>
            </w:r>
          </w:p>
          <w:p w14:paraId="314A2FA0" w14:textId="0673F3EB" w:rsidR="003774FD" w:rsidRPr="00FD6A2B" w:rsidRDefault="003774FD" w:rsidP="003774FD">
            <w:pPr>
              <w:autoSpaceDE w:val="0"/>
              <w:autoSpaceDN w:val="0"/>
              <w:adjustRightInd w:val="0"/>
              <w:spacing w:after="120"/>
              <w:jc w:val="both"/>
              <w:rPr>
                <w:color w:val="000000" w:themeColor="text1"/>
                <w:sz w:val="20"/>
                <w:szCs w:val="20"/>
                <w:lang w:eastAsia="ro-RO"/>
              </w:rPr>
            </w:pPr>
            <w:r w:rsidRPr="00FD6A2B">
              <w:rPr>
                <w:color w:val="000000" w:themeColor="text1"/>
                <w:sz w:val="20"/>
                <w:szCs w:val="20"/>
                <w:lang w:eastAsia="ro-RO"/>
              </w:rPr>
              <w:t>Pentru realizarea în condiții optime a procesului de închidere a exercițiului de programare 2014-2020, Comisia Europeană a aprobat orientările pe care statele membre trebuie să le urmeze și a stabilit termene de recomandare pentru anumite etape în cadrul acestui proces, în plus față de termenele prevăzute în regulamentele care guvernează aceste fonduri (Comunicarea 021/C 417/01 din 14 octombrie 2021).</w:t>
            </w:r>
          </w:p>
          <w:p w14:paraId="0611EDB6" w14:textId="77777777" w:rsidR="003774FD" w:rsidRPr="00FD6A2B" w:rsidRDefault="003774FD" w:rsidP="003774FD">
            <w:pPr>
              <w:autoSpaceDE w:val="0"/>
              <w:autoSpaceDN w:val="0"/>
              <w:adjustRightInd w:val="0"/>
              <w:spacing w:after="120"/>
              <w:jc w:val="both"/>
              <w:rPr>
                <w:color w:val="000000" w:themeColor="text1"/>
                <w:sz w:val="20"/>
                <w:szCs w:val="20"/>
                <w:lang w:eastAsia="ro-RO"/>
              </w:rPr>
            </w:pPr>
            <w:r w:rsidRPr="00FD6A2B">
              <w:rPr>
                <w:color w:val="000000" w:themeColor="text1"/>
                <w:sz w:val="20"/>
                <w:szCs w:val="20"/>
                <w:lang w:eastAsia="ro-RO"/>
              </w:rPr>
              <w:t>De asemenea, odată cu sistemul de examinare și acceptare anuală a conturilor, a fost introdusă o simplificare semnificativă a procedurii de închidere. Prin urmare, închiderea finală a programului trebuie să se bazeze numai pe documentele referitoare la ultimul exercițiu contabil și pe raportul final de implementare sau pe ultimul raport anual de implementare (în cazul FEPAM).</w:t>
            </w:r>
          </w:p>
          <w:p w14:paraId="78D917C3" w14:textId="0C49D3D2" w:rsidR="003774FD" w:rsidRPr="00FD6A2B" w:rsidRDefault="003774FD" w:rsidP="003774FD">
            <w:pPr>
              <w:autoSpaceDE w:val="0"/>
              <w:autoSpaceDN w:val="0"/>
              <w:adjustRightInd w:val="0"/>
              <w:spacing w:after="120"/>
              <w:jc w:val="both"/>
              <w:rPr>
                <w:color w:val="000000" w:themeColor="text1"/>
                <w:sz w:val="20"/>
                <w:szCs w:val="20"/>
                <w:lang w:eastAsia="ro-RO"/>
              </w:rPr>
            </w:pPr>
            <w:r w:rsidRPr="00FD6A2B">
              <w:rPr>
                <w:color w:val="000000" w:themeColor="text1"/>
                <w:sz w:val="20"/>
                <w:szCs w:val="20"/>
                <w:lang w:eastAsia="ro-RO"/>
              </w:rPr>
              <w:t xml:space="preserve">Există elemente ale procesului de închidere a </w:t>
            </w:r>
            <w:r w:rsidR="00305F76" w:rsidRPr="00FD6A2B">
              <w:rPr>
                <w:color w:val="000000" w:themeColor="text1"/>
                <w:sz w:val="20"/>
                <w:szCs w:val="20"/>
                <w:lang w:eastAsia="ro-RO"/>
              </w:rPr>
              <w:t>programelor operaționale</w:t>
            </w:r>
            <w:r w:rsidRPr="00FD6A2B">
              <w:rPr>
                <w:color w:val="000000" w:themeColor="text1"/>
                <w:sz w:val="20"/>
                <w:szCs w:val="20"/>
                <w:lang w:eastAsia="ro-RO"/>
              </w:rPr>
              <w:t xml:space="preserve">, definite în proiectul de act normativ, care au suferit modificări și completări  pe parcursul anului 2022, reflectate inclusiv în varianta revizuită a Orientărilor privind închiderea, elaborată de experții Comisiei Europene atât pentru alinierea cu Regulamentul (UE) nr. 2022/ 2039 FAST-CARE, dar și pentru a introduce flexibilități suplimentare, în vederea reducerii sarcinii tot mai mare asupra bugetelor naționale. Versiunea actualizată a Orientărilor privind închiderea a fost publicată oficial în data de 14 decembrie 2022, subsecvent adoptării Regulamentului FAST-CARE din data de 19 octombrie 2022. </w:t>
            </w:r>
          </w:p>
          <w:p w14:paraId="3B7179F8" w14:textId="25AB6411" w:rsidR="003774FD" w:rsidRPr="00FD6A2B" w:rsidRDefault="003774FD" w:rsidP="003774FD">
            <w:pPr>
              <w:autoSpaceDE w:val="0"/>
              <w:autoSpaceDN w:val="0"/>
              <w:adjustRightInd w:val="0"/>
              <w:spacing w:after="120"/>
              <w:jc w:val="both"/>
              <w:rPr>
                <w:color w:val="000000" w:themeColor="text1"/>
                <w:sz w:val="20"/>
                <w:szCs w:val="20"/>
                <w:lang w:eastAsia="ro-RO"/>
              </w:rPr>
            </w:pPr>
            <w:r w:rsidRPr="00FD6A2B">
              <w:rPr>
                <w:color w:val="000000" w:themeColor="text1"/>
                <w:sz w:val="20"/>
                <w:szCs w:val="20"/>
                <w:lang w:eastAsia="ro-RO"/>
              </w:rPr>
              <w:t xml:space="preserve">Având în vedere consecințele pe care nerespectarea tuturor acestor termene le are asupra absorbției finale a fondurilor alocate României de UE în perioada 2014-2020, în vederea unei abordări unitare și pentru a se putea respecta termenele de răspuns către Comisie, Ministerul Investițiilor și Proiectelor Europene (MIPE), în calitate de coordonator al asistenței financiare nerambursabile, a inițiat prezenta </w:t>
            </w:r>
            <w:r w:rsidR="00A84ABD" w:rsidRPr="00FD6A2B">
              <w:rPr>
                <w:color w:val="000000" w:themeColor="text1"/>
                <w:sz w:val="20"/>
                <w:szCs w:val="20"/>
                <w:lang w:eastAsia="ro-RO"/>
              </w:rPr>
              <w:t>ordonanță de urgență</w:t>
            </w:r>
            <w:r w:rsidRPr="00FD6A2B">
              <w:rPr>
                <w:color w:val="000000" w:themeColor="text1"/>
                <w:sz w:val="20"/>
                <w:szCs w:val="20"/>
                <w:lang w:eastAsia="ro-RO"/>
              </w:rPr>
              <w:t>.</w:t>
            </w:r>
          </w:p>
          <w:p w14:paraId="0B60E8C0" w14:textId="77777777" w:rsidR="003774FD" w:rsidRPr="00FD6A2B" w:rsidRDefault="003774FD" w:rsidP="003774FD">
            <w:pPr>
              <w:autoSpaceDE w:val="0"/>
              <w:autoSpaceDN w:val="0"/>
              <w:adjustRightInd w:val="0"/>
              <w:spacing w:after="120"/>
              <w:jc w:val="both"/>
              <w:rPr>
                <w:color w:val="000000" w:themeColor="text1"/>
                <w:sz w:val="20"/>
                <w:szCs w:val="20"/>
                <w:lang w:eastAsia="ro-RO"/>
              </w:rPr>
            </w:pPr>
            <w:r w:rsidRPr="00FD6A2B">
              <w:rPr>
                <w:color w:val="000000" w:themeColor="text1"/>
                <w:sz w:val="20"/>
                <w:szCs w:val="20"/>
                <w:lang w:eastAsia="ro-RO"/>
              </w:rPr>
              <w:t>Obiectul actului normativ îl constituie stabilirea cadrului legal naţional privind activităţile şi termenele care trebuie respectate de către toate structurile implicate în închiderea programelor finanţate în perioada 2014-2020 din Fondul European de Dezvoltare Regională, Fondul Social European, Fondul de Coeziune, Fondul European pentru Pescuit și Afaceri Maritime, Fondul de Ajutor European pentru cele mai Defavorizate Persoane și a programelor de cooperare transfrontalieră finanțate prin Instrumentul de Asistență pentru Preaderare (IPA II), potrivit competențelor: autoritățile de management ale programelor operaționale, Autoritatea de Certificare și Plată din Ministerul Finanțelor Publice și Autoritatea de Audit.</w:t>
            </w:r>
          </w:p>
          <w:p w14:paraId="1FCDD66F" w14:textId="3B2AACD4" w:rsidR="003774FD" w:rsidRPr="00FD6A2B" w:rsidRDefault="003774FD" w:rsidP="003774FD">
            <w:pPr>
              <w:autoSpaceDE w:val="0"/>
              <w:autoSpaceDN w:val="0"/>
              <w:adjustRightInd w:val="0"/>
              <w:spacing w:after="120"/>
              <w:jc w:val="both"/>
              <w:rPr>
                <w:color w:val="000000" w:themeColor="text1"/>
                <w:sz w:val="20"/>
                <w:szCs w:val="20"/>
                <w:lang w:eastAsia="ro-RO"/>
              </w:rPr>
            </w:pPr>
            <w:r w:rsidRPr="00FD6A2B">
              <w:rPr>
                <w:color w:val="000000" w:themeColor="text1"/>
                <w:sz w:val="20"/>
                <w:szCs w:val="20"/>
                <w:lang w:eastAsia="ro-RO"/>
              </w:rPr>
              <w:t>Astfel, se va putea asigura pregătirea și transmiterea la termen  Comisiei Europene, prin sistemul electronic SFC 2014, a pachetului de documente pentru închidere, format din aplicația de plată intermediară finală, raportul final de implementare, conturile pentru ultimul exercițiu contabil, declarația de management și raportul anual de sinteză, respectiv opinia de audit pentru ultimul exercițiu contabil, însoțită de raportul final de control al Autorității de Audit.</w:t>
            </w:r>
          </w:p>
          <w:p w14:paraId="6F3513E2" w14:textId="2B1D806E" w:rsidR="00A84ABD" w:rsidRPr="00FD6A2B" w:rsidRDefault="00A84ABD" w:rsidP="003774FD">
            <w:pPr>
              <w:autoSpaceDE w:val="0"/>
              <w:autoSpaceDN w:val="0"/>
              <w:adjustRightInd w:val="0"/>
              <w:spacing w:after="120"/>
              <w:jc w:val="both"/>
              <w:rPr>
                <w:color w:val="000000" w:themeColor="text1"/>
                <w:sz w:val="20"/>
                <w:szCs w:val="20"/>
                <w:lang w:eastAsia="ro-RO"/>
              </w:rPr>
            </w:pPr>
            <w:r w:rsidRPr="00FD6A2B">
              <w:rPr>
                <w:color w:val="000000" w:themeColor="text1"/>
                <w:sz w:val="20"/>
                <w:szCs w:val="20"/>
                <w:lang w:eastAsia="ro-RO"/>
              </w:rPr>
              <w:t>Principalele obiective a proiectului de act normativ:</w:t>
            </w:r>
          </w:p>
          <w:p w14:paraId="25D4CA6A" w14:textId="2B9E1CBB" w:rsidR="00A84ABD" w:rsidRPr="00FD6A2B" w:rsidRDefault="00A84ABD" w:rsidP="00A84ABD">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reglementează cadrul general, privind măsurile, activitățile, condițiile și termenele generale care trebuie respectate de către toate structurile implicate în închiderea programelor operaționale finanțate în perioada de programare 2014-2020;</w:t>
            </w:r>
          </w:p>
          <w:p w14:paraId="054314F6" w14:textId="66EDA81C" w:rsidR="00A84ABD" w:rsidRPr="00FD6A2B" w:rsidRDefault="00A84ABD" w:rsidP="00A84ABD">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asigură o abordare unitară a autorităților de management în procesul de închidere;</w:t>
            </w:r>
          </w:p>
          <w:p w14:paraId="46572924" w14:textId="7723EC3F" w:rsidR="00A84ABD" w:rsidRPr="00FD6A2B" w:rsidRDefault="00A84ABD" w:rsidP="00A84ABD">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asigură continuitatea și predictibilitatea implementării proiectelor cu finanțare europeană în următoarea perioadă de programare;</w:t>
            </w:r>
          </w:p>
          <w:p w14:paraId="39F5D666" w14:textId="73F40E53" w:rsidR="00E3225B" w:rsidRPr="00FD6A2B" w:rsidRDefault="00E3225B" w:rsidP="00A84ABD">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stabilește documentele de închidere;</w:t>
            </w:r>
          </w:p>
          <w:p w14:paraId="62B3C8BA" w14:textId="5AD18573" w:rsidR="00E3225B" w:rsidRPr="00FD6A2B" w:rsidRDefault="00E3225B" w:rsidP="00A84ABD">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introduce definirea unor noțiuni în contextul reglementărilor din actul normativ;</w:t>
            </w:r>
          </w:p>
          <w:p w14:paraId="0B38417B" w14:textId="77777777" w:rsidR="00C84894" w:rsidRPr="00FD6A2B" w:rsidRDefault="00A84ABD" w:rsidP="00A84ABD">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prevede cadrul necesar autorităților de management pentru evaluarea portofoliilor de proiecte finanțate în cadrul exercițiului financiar 2014-2020, pentru a identifica riscul de nefinalizare a investițiilor în termenul de eligibilitate,</w:t>
            </w:r>
          </w:p>
          <w:p w14:paraId="382B12F1" w14:textId="1DC17C58" w:rsidR="00A84ABD" w:rsidRPr="00FD6A2B" w:rsidRDefault="00C84894" w:rsidP="00A84ABD">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 xml:space="preserve">prevede </w:t>
            </w:r>
            <w:r w:rsidR="00A84ABD" w:rsidRPr="00FD6A2B">
              <w:rPr>
                <w:rFonts w:ascii="Times New Roman" w:hAnsi="Times New Roman" w:cs="Times New Roman"/>
                <w:color w:val="000000" w:themeColor="text1"/>
                <w:sz w:val="20"/>
                <w:szCs w:val="20"/>
                <w:lang w:eastAsia="ro-RO"/>
              </w:rPr>
              <w:t xml:space="preserve">mecanismele de asigurare a finalizării proiectelor precum și a îndeplinirii indicatorilor de performanta asumați </w:t>
            </w:r>
            <w:r w:rsidRPr="00FD6A2B">
              <w:rPr>
                <w:rFonts w:ascii="Times New Roman" w:hAnsi="Times New Roman" w:cs="Times New Roman"/>
                <w:color w:val="000000" w:themeColor="text1"/>
                <w:sz w:val="20"/>
                <w:szCs w:val="20"/>
                <w:lang w:eastAsia="ro-RO"/>
              </w:rPr>
              <w:t>î</w:t>
            </w:r>
            <w:r w:rsidR="00A84ABD" w:rsidRPr="00FD6A2B">
              <w:rPr>
                <w:rFonts w:ascii="Times New Roman" w:hAnsi="Times New Roman" w:cs="Times New Roman"/>
                <w:color w:val="000000" w:themeColor="text1"/>
                <w:sz w:val="20"/>
                <w:szCs w:val="20"/>
                <w:lang w:eastAsia="ro-RO"/>
              </w:rPr>
              <w:t>n cadrul programelor operaționale, având în vedere faptul că nefinalizarea acestora poate conduce la o neîndeplinire gravă a obiectivelor selectate pentru cadrul de performanță, caz în care Comisia Europeană va aplica o corecție financiară în conformitate cu articolul 22 alineatul (7) din Regulamentul (UE) 2013/1303;</w:t>
            </w:r>
          </w:p>
          <w:p w14:paraId="7D588E45" w14:textId="0F6489D4" w:rsidR="00A84ABD" w:rsidRPr="00FD6A2B" w:rsidRDefault="00C84894" w:rsidP="00A84ABD">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lastRenderedPageBreak/>
              <w:t>stabilește și definește tipurile de proiecte care fac obiectul procesului de închidere (proiecte etapizate, proiecte nefuncționale, proiecte nefinalizate, proiecte ce trebuie reziliate)</w:t>
            </w:r>
          </w:p>
          <w:p w14:paraId="1F083387" w14:textId="283C90E5" w:rsidR="004F1F65" w:rsidRPr="00FD6A2B" w:rsidRDefault="004F1F65" w:rsidP="00A84ABD">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instituie condițiile ce trebuie respectate pentru încadrarea proiectelor în categoriile menționate mai sus;</w:t>
            </w:r>
          </w:p>
          <w:p w14:paraId="368F592A" w14:textId="224EDA09" w:rsidR="004F1F65" w:rsidRPr="00FD6A2B" w:rsidRDefault="004F1F65" w:rsidP="00A84ABD">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 xml:space="preserve">reglementează termenul prevăzut pentru modificarea programelor operaționale în raport cu analiza premergătoare efectuată de autoritățile de management pe baza portofoliilor de proiecte. </w:t>
            </w:r>
          </w:p>
          <w:p w14:paraId="460F3D8C" w14:textId="4A603542" w:rsidR="004F1F65" w:rsidRPr="00FD6A2B" w:rsidRDefault="004F1F65" w:rsidP="00A84ABD">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prevedere condițiile de compensare a sumelor privind neregulile cu sumele din cheltuielile suprarezervate în conformitate cu normele prevăzute de legislația europeană în vigoare;</w:t>
            </w:r>
          </w:p>
          <w:p w14:paraId="23A88773" w14:textId="51EA5212" w:rsidR="004F1F65" w:rsidRPr="00FD6A2B" w:rsidRDefault="004F1F65" w:rsidP="00DA67C1">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 xml:space="preserve">asigură corelarea reglementării </w:t>
            </w:r>
            <w:r w:rsidR="00DC5B7B" w:rsidRPr="00FD6A2B">
              <w:rPr>
                <w:rFonts w:ascii="Times New Roman" w:hAnsi="Times New Roman" w:cs="Times New Roman"/>
                <w:color w:val="000000" w:themeColor="text1"/>
                <w:sz w:val="20"/>
                <w:szCs w:val="20"/>
                <w:lang w:eastAsia="ro-RO"/>
              </w:rPr>
              <w:t>închiderii programelor operaționale finanțate în perioada de programare 2014-2020 cu prevederile OUG nr. 64 din 9 mai 2022 privind ajustarea prețurilor și a valorii devizelor generale în cadrul proiectelor finanțate din fonduri externe nerambursabile, cu modificările și completările ulterioare și cu OUG 133/2021 privind gestionarea financiară a fondurilor europene pentru perioada de programare 2021-2027 alocate României din Fondul european de dezvoltare regională, Fondul de coeziune, Fondul social european Plus, Fondul pentru o tranziție justă;</w:t>
            </w:r>
          </w:p>
          <w:p w14:paraId="255B6E48" w14:textId="371AFC1D" w:rsidR="00DC5B7B" w:rsidRPr="00FD6A2B" w:rsidRDefault="00DC5B7B" w:rsidP="00DA67C1">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stabilește, definește și reglementează categoria de cheltuielile suprarezervate;</w:t>
            </w:r>
          </w:p>
          <w:p w14:paraId="1B0787E4" w14:textId="457E5E55" w:rsidR="00DC5B7B" w:rsidRPr="00FD6A2B" w:rsidRDefault="00DC5B7B" w:rsidP="00DA67C1">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nominalizează măsurile specifice unor proiecte de importanță majoră pentru România, astfel încât aceste măsuri să asigure gestionarea în bune condiții a acestor proiecte, continuitatea și predictibilitatea acestora;</w:t>
            </w:r>
          </w:p>
          <w:p w14:paraId="1BF5ADF6" w14:textId="7C569B85" w:rsidR="00DC5B7B" w:rsidRPr="00FD6A2B" w:rsidRDefault="00165628" w:rsidP="00DA67C1">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stabilește termenul pentru depunerea cererii finale de rambursare</w:t>
            </w:r>
            <w:r w:rsidR="002C68BC" w:rsidRPr="00FD6A2B">
              <w:rPr>
                <w:rFonts w:ascii="Times New Roman" w:hAnsi="Times New Roman" w:cs="Times New Roman"/>
                <w:color w:val="000000" w:themeColor="text1"/>
                <w:sz w:val="20"/>
                <w:szCs w:val="20"/>
                <w:lang w:eastAsia="ro-RO"/>
              </w:rPr>
              <w:t xml:space="preserve"> de către beneficiari</w:t>
            </w:r>
            <w:r w:rsidRPr="00FD6A2B">
              <w:rPr>
                <w:rFonts w:ascii="Times New Roman" w:hAnsi="Times New Roman" w:cs="Times New Roman"/>
                <w:color w:val="000000" w:themeColor="text1"/>
                <w:sz w:val="20"/>
                <w:szCs w:val="20"/>
                <w:lang w:eastAsia="ro-RO"/>
              </w:rPr>
              <w:t xml:space="preserve">, cu sancțiunea de nerespectare a acestuia, pentru a asigura premisele unui timp suficient pentru </w:t>
            </w:r>
            <w:r w:rsidR="00AC61D6" w:rsidRPr="00FD6A2B">
              <w:rPr>
                <w:rFonts w:ascii="Times New Roman" w:hAnsi="Times New Roman" w:cs="Times New Roman"/>
                <w:color w:val="000000" w:themeColor="text1"/>
                <w:sz w:val="20"/>
                <w:szCs w:val="20"/>
                <w:lang w:eastAsia="ro-RO"/>
              </w:rPr>
              <w:t>autoritățile de management a elaboreze corelat documentele de închidere;</w:t>
            </w:r>
          </w:p>
          <w:p w14:paraId="516547C7" w14:textId="4C2AE444" w:rsidR="00DA67C1" w:rsidRPr="00FD6A2B" w:rsidRDefault="00AC61D6" w:rsidP="003774FD">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instituie prevederi care să asigure continuitatea finanțării, stabilește titularii, responsabilitățile și sursele de finanțare pentru portofoliul de proiecte care intră sub incidența acestui act normativ, pornind de la necesitățile identificate și argumentate de autoritățile de management</w:t>
            </w:r>
            <w:r w:rsidR="00DA67C1" w:rsidRPr="00FD6A2B">
              <w:rPr>
                <w:rFonts w:ascii="Times New Roman" w:hAnsi="Times New Roman" w:cs="Times New Roman"/>
                <w:color w:val="000000" w:themeColor="text1"/>
                <w:sz w:val="20"/>
                <w:szCs w:val="20"/>
                <w:lang w:eastAsia="ro-RO"/>
              </w:rPr>
              <w:t>;</w:t>
            </w:r>
          </w:p>
          <w:p w14:paraId="74561123" w14:textId="5C32FB58" w:rsidR="003E37EE" w:rsidRPr="00FD6A2B" w:rsidRDefault="003E37EE" w:rsidP="003E37EE">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stabilește obligațiile și atribuțiile autorităților de management pentru programele 2021-2027 în vederea preluării la finanțare a etapei a I</w:t>
            </w:r>
            <w:r w:rsidR="006E2AD2" w:rsidRPr="00FD6A2B">
              <w:rPr>
                <w:rFonts w:ascii="Times New Roman" w:hAnsi="Times New Roman" w:cs="Times New Roman"/>
                <w:color w:val="000000" w:themeColor="text1"/>
                <w:sz w:val="20"/>
                <w:szCs w:val="20"/>
                <w:lang w:eastAsia="ro-RO"/>
              </w:rPr>
              <w:t>I</w:t>
            </w:r>
            <w:r w:rsidRPr="00FD6A2B">
              <w:rPr>
                <w:rFonts w:ascii="Times New Roman" w:hAnsi="Times New Roman" w:cs="Times New Roman"/>
                <w:color w:val="000000" w:themeColor="text1"/>
                <w:sz w:val="20"/>
                <w:szCs w:val="20"/>
                <w:lang w:eastAsia="ro-RO"/>
              </w:rPr>
              <w:t>a a proiectelor care</w:t>
            </w:r>
            <w:r w:rsidR="006E2AD2" w:rsidRPr="00FD6A2B">
              <w:rPr>
                <w:rFonts w:ascii="Times New Roman" w:hAnsi="Times New Roman" w:cs="Times New Roman"/>
                <w:color w:val="000000" w:themeColor="text1"/>
                <w:sz w:val="20"/>
                <w:szCs w:val="20"/>
                <w:lang w:eastAsia="ro-RO"/>
              </w:rPr>
              <w:t xml:space="preserve"> </w:t>
            </w:r>
            <w:r w:rsidRPr="00FD6A2B">
              <w:rPr>
                <w:rFonts w:ascii="Times New Roman" w:hAnsi="Times New Roman" w:cs="Times New Roman"/>
                <w:color w:val="000000" w:themeColor="text1"/>
                <w:sz w:val="20"/>
                <w:szCs w:val="20"/>
                <w:lang w:eastAsia="ro-RO"/>
              </w:rPr>
              <w:t>fac obiectul etapizării în condițiile prevăzute la art. 118 sau 118a din Regulamentul (UE) 2021/1060, cu modificările și completările ulterioare;</w:t>
            </w:r>
          </w:p>
          <w:p w14:paraId="2483EE34" w14:textId="124FD572" w:rsidR="003E37EE" w:rsidRPr="00FD6A2B" w:rsidRDefault="003E37EE" w:rsidP="003774FD">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 xml:space="preserve">definește cadrul general  pentru guvernanța la nivel național pentru procesul de închidere a programelor operaționale 2014-2020; </w:t>
            </w:r>
          </w:p>
          <w:p w14:paraId="0413322C" w14:textId="77777777" w:rsidR="006E5B93" w:rsidRPr="00FD6A2B" w:rsidRDefault="00DA67C1" w:rsidP="003774FD">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se stabilesc regulile pentru categoriile de proiecte care fac obiectul unei proceduri judiciare/unui recurs administrativ cu efect suspensiv pentru care sunt sume suspendate de la procedura de declarare/certificare, în baza prevederilor legale europene și naționale</w:t>
            </w:r>
          </w:p>
          <w:p w14:paraId="533A58A6" w14:textId="6D5ED97B" w:rsidR="00E3225B" w:rsidRPr="00FD6A2B" w:rsidRDefault="006E5B93" w:rsidP="003774FD">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stabilește temeiul legal pentru metodologiile aprobate prin ordin al ministrului investițiilor și proiectelor europene pentru realizarea analizei obiective a proiectelor/operațiunilor aflate în implementare și evaluarea riscurilor, în vederea elaborării Liste</w:t>
            </w:r>
            <w:r w:rsidR="003E37EE" w:rsidRPr="00FD6A2B">
              <w:rPr>
                <w:rFonts w:ascii="Times New Roman" w:hAnsi="Times New Roman" w:cs="Times New Roman"/>
                <w:color w:val="000000" w:themeColor="text1"/>
                <w:sz w:val="20"/>
                <w:szCs w:val="20"/>
                <w:lang w:eastAsia="ro-RO"/>
              </w:rPr>
              <w:t>i</w:t>
            </w:r>
            <w:r w:rsidRPr="00FD6A2B">
              <w:rPr>
                <w:rFonts w:ascii="Times New Roman" w:hAnsi="Times New Roman" w:cs="Times New Roman"/>
                <w:color w:val="000000" w:themeColor="text1"/>
                <w:sz w:val="20"/>
                <w:szCs w:val="20"/>
                <w:lang w:eastAsia="ro-RO"/>
              </w:rPr>
              <w:t xml:space="preserve"> proiectelor/operațiunilor etapizate</w:t>
            </w:r>
            <w:r w:rsidR="003E37EE" w:rsidRPr="00FD6A2B">
              <w:rPr>
                <w:rFonts w:ascii="Times New Roman" w:hAnsi="Times New Roman" w:cs="Times New Roman"/>
                <w:color w:val="000000" w:themeColor="text1"/>
                <w:sz w:val="20"/>
                <w:szCs w:val="20"/>
                <w:lang w:eastAsia="ro-RO"/>
              </w:rPr>
              <w:t xml:space="preserve">, a elaborării Listei proiectelor/operațiunilor </w:t>
            </w:r>
            <w:r w:rsidR="00E3225B" w:rsidRPr="00FD6A2B">
              <w:rPr>
                <w:rFonts w:ascii="Times New Roman" w:hAnsi="Times New Roman" w:cs="Times New Roman"/>
                <w:color w:val="000000" w:themeColor="text1"/>
                <w:sz w:val="20"/>
                <w:szCs w:val="20"/>
                <w:lang w:eastAsia="ro-RO"/>
              </w:rPr>
              <w:t>nefuncționale</w:t>
            </w:r>
            <w:r w:rsidRPr="00FD6A2B">
              <w:rPr>
                <w:rFonts w:ascii="Times New Roman" w:hAnsi="Times New Roman" w:cs="Times New Roman"/>
                <w:color w:val="000000" w:themeColor="text1"/>
                <w:sz w:val="20"/>
                <w:szCs w:val="20"/>
                <w:lang w:eastAsia="ro-RO"/>
              </w:rPr>
              <w:t xml:space="preserve"> și a cuantumului necesarului de finanțare aferent acestora</w:t>
            </w:r>
            <w:r w:rsidR="00E3225B" w:rsidRPr="00FD6A2B">
              <w:rPr>
                <w:rFonts w:ascii="Times New Roman" w:hAnsi="Times New Roman" w:cs="Times New Roman"/>
                <w:color w:val="000000" w:themeColor="text1"/>
                <w:sz w:val="20"/>
                <w:szCs w:val="20"/>
                <w:lang w:eastAsia="ro-RO"/>
              </w:rPr>
              <w:t>, inclusiv din perspectiva asigurării surselor de finanțare;</w:t>
            </w:r>
          </w:p>
          <w:p w14:paraId="1897D8F3" w14:textId="1FDE9C21" w:rsidR="003E37EE" w:rsidRPr="00FD6A2B" w:rsidRDefault="00E3225B" w:rsidP="003774FD">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asigură pista de audit în contextul trecerii de la perioada de programare 2014-2020 la perioada de programare 2021-2027</w:t>
            </w:r>
            <w:r w:rsidR="003E37EE" w:rsidRPr="00FD6A2B">
              <w:rPr>
                <w:rFonts w:ascii="Times New Roman" w:hAnsi="Times New Roman" w:cs="Times New Roman"/>
                <w:color w:val="000000" w:themeColor="text1"/>
                <w:sz w:val="20"/>
                <w:szCs w:val="20"/>
                <w:lang w:eastAsia="ro-RO"/>
              </w:rPr>
              <w:t>.</w:t>
            </w:r>
          </w:p>
          <w:p w14:paraId="36A81B25" w14:textId="031E9322" w:rsidR="003774FD" w:rsidRPr="00FD6A2B" w:rsidRDefault="003774FD" w:rsidP="003774FD">
            <w:pPr>
              <w:autoSpaceDE w:val="0"/>
              <w:autoSpaceDN w:val="0"/>
              <w:adjustRightInd w:val="0"/>
              <w:spacing w:after="120"/>
              <w:jc w:val="both"/>
              <w:rPr>
                <w:color w:val="000000" w:themeColor="text1"/>
                <w:sz w:val="20"/>
                <w:szCs w:val="20"/>
                <w:lang w:eastAsia="ro-RO"/>
              </w:rPr>
            </w:pPr>
            <w:r w:rsidRPr="00FD6A2B">
              <w:rPr>
                <w:color w:val="000000" w:themeColor="text1"/>
                <w:sz w:val="20"/>
                <w:szCs w:val="20"/>
                <w:lang w:eastAsia="ro-RO"/>
              </w:rPr>
              <w:t xml:space="preserve">Pentru monitorizarea procesului de închidere se prevede ca, după intrarea în vigoare a acestei </w:t>
            </w:r>
            <w:r w:rsidR="00DD7191" w:rsidRPr="00FD6A2B">
              <w:rPr>
                <w:color w:val="000000" w:themeColor="text1"/>
                <w:sz w:val="20"/>
                <w:szCs w:val="20"/>
                <w:lang w:eastAsia="ro-RO"/>
              </w:rPr>
              <w:t>ordonanțe de urgență</w:t>
            </w:r>
            <w:r w:rsidRPr="00FD6A2B">
              <w:rPr>
                <w:color w:val="000000" w:themeColor="text1"/>
                <w:sz w:val="20"/>
                <w:szCs w:val="20"/>
                <w:lang w:eastAsia="ro-RO"/>
              </w:rPr>
              <w:t xml:space="preserve">, MIPE să constituie un grup de lucru interinstituțional, format din conducerile structurilor/instituțiilor implicate, care să analizeze periodic stadiul realizării calendarului de închidere și să propună măsuri corective în scopul evitării blocajelor, recuperării eventualelor întârzieri. </w:t>
            </w:r>
          </w:p>
          <w:p w14:paraId="55F0DB12" w14:textId="378302AE" w:rsidR="003774FD" w:rsidRPr="00FD6A2B" w:rsidRDefault="00AC61D6" w:rsidP="008838DB">
            <w:pPr>
              <w:autoSpaceDE w:val="0"/>
              <w:autoSpaceDN w:val="0"/>
              <w:adjustRightInd w:val="0"/>
              <w:spacing w:after="120"/>
              <w:jc w:val="both"/>
              <w:rPr>
                <w:color w:val="000000" w:themeColor="text1"/>
                <w:sz w:val="20"/>
                <w:szCs w:val="20"/>
                <w:lang w:eastAsia="ro-RO"/>
              </w:rPr>
            </w:pPr>
            <w:r w:rsidRPr="00FD6A2B">
              <w:rPr>
                <w:color w:val="000000" w:themeColor="text1"/>
                <w:sz w:val="20"/>
                <w:szCs w:val="20"/>
                <w:lang w:eastAsia="ro-RO"/>
              </w:rPr>
              <w:t xml:space="preserve">Extrema urgență a instituirii acestor măsuri este justificată de asigurarea tuturor prevederilor care sunt necesare principalelor structuri implicate în gestionarea fondurilor europene pentru trecerea de la perioada actuala de programare la perioada de programare 2021-2027, adaptate </w:t>
            </w:r>
            <w:r w:rsidR="00940FE3" w:rsidRPr="00FD6A2B">
              <w:rPr>
                <w:color w:val="000000" w:themeColor="text1"/>
                <w:sz w:val="20"/>
                <w:szCs w:val="20"/>
                <w:lang w:eastAsia="ro-RO"/>
              </w:rPr>
              <w:t>la contextul programelor operaționale, pe baza analizei efectuate de autoritățile de manag</w:t>
            </w:r>
            <w:r w:rsidR="00E525D2" w:rsidRPr="00FD6A2B">
              <w:rPr>
                <w:color w:val="000000" w:themeColor="text1"/>
                <w:sz w:val="20"/>
                <w:szCs w:val="20"/>
                <w:lang w:eastAsia="ro-RO"/>
              </w:rPr>
              <w:t>e</w:t>
            </w:r>
            <w:r w:rsidR="00940FE3" w:rsidRPr="00FD6A2B">
              <w:rPr>
                <w:color w:val="000000" w:themeColor="text1"/>
                <w:sz w:val="20"/>
                <w:szCs w:val="20"/>
                <w:lang w:eastAsia="ro-RO"/>
              </w:rPr>
              <w:t>ment</w:t>
            </w:r>
            <w:r w:rsidR="008A479D" w:rsidRPr="00FD6A2B">
              <w:rPr>
                <w:color w:val="000000" w:themeColor="text1"/>
                <w:sz w:val="20"/>
                <w:szCs w:val="20"/>
                <w:lang w:eastAsia="ro-RO"/>
              </w:rPr>
              <w:t xml:space="preserve"> și de necesitatea respectării termenelor instituite de publicarea orientărilor Comisiei Europene, respectiv:</w:t>
            </w:r>
          </w:p>
          <w:p w14:paraId="380A90F2" w14:textId="18682F5F" w:rsidR="008A479D" w:rsidRPr="00FD6A2B" w:rsidRDefault="002F563F" w:rsidP="002F563F">
            <w:pPr>
              <w:pStyle w:val="ListParagraph"/>
              <w:numPr>
                <w:ilvl w:val="0"/>
                <w:numId w:val="35"/>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b/>
                <w:color w:val="000000" w:themeColor="text1"/>
                <w:sz w:val="20"/>
                <w:szCs w:val="20"/>
              </w:rPr>
              <w:t xml:space="preserve">30 septembrie 2023 - </w:t>
            </w:r>
            <w:r w:rsidRPr="00FD6A2B">
              <w:rPr>
                <w:rFonts w:ascii="Times New Roman" w:eastAsia="Times New Roman" w:hAnsi="Times New Roman" w:cs="Times New Roman"/>
                <w:color w:val="000000" w:themeColor="text1"/>
                <w:sz w:val="20"/>
                <w:szCs w:val="20"/>
                <w:lang w:eastAsia="ro-RO"/>
              </w:rPr>
              <w:t>Termenul limită pentru transmiterea cererilor de modificare a deciziilor Comisiei Europene pentru modificarea programelor operaționale/proiectelor majore propuse a fi etapizate</w:t>
            </w:r>
            <w:r w:rsidRPr="00FD6A2B">
              <w:rPr>
                <w:rFonts w:ascii="Times New Roman" w:hAnsi="Times New Roman" w:cs="Times New Roman"/>
                <w:color w:val="000000" w:themeColor="text1"/>
                <w:sz w:val="20"/>
                <w:szCs w:val="20"/>
              </w:rPr>
              <w:t>;</w:t>
            </w:r>
          </w:p>
          <w:p w14:paraId="6FEE145E" w14:textId="17811974" w:rsidR="002F563F" w:rsidRPr="00FD6A2B" w:rsidRDefault="001C3770" w:rsidP="002F563F">
            <w:pPr>
              <w:pStyle w:val="ListParagraph"/>
              <w:numPr>
                <w:ilvl w:val="0"/>
                <w:numId w:val="35"/>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b/>
                <w:color w:val="000000" w:themeColor="text1"/>
                <w:sz w:val="20"/>
                <w:szCs w:val="20"/>
              </w:rPr>
              <w:t xml:space="preserve">31 decembrie 2023 - </w:t>
            </w:r>
            <w:r w:rsidRPr="00FD6A2B">
              <w:rPr>
                <w:rFonts w:ascii="Times New Roman" w:hAnsi="Times New Roman" w:cs="Times New Roman"/>
                <w:bCs/>
                <w:color w:val="000000" w:themeColor="text1"/>
                <w:sz w:val="20"/>
                <w:szCs w:val="20"/>
              </w:rPr>
              <w:t>Termenul limită pentru eligibilitatea din fonduri a cheltuielilor plătite de beneficiari în cadrul proiectelor finanțate în programele operaționale din cadrul financiar multianual 2014-2020;</w:t>
            </w:r>
          </w:p>
          <w:p w14:paraId="03696076" w14:textId="7568705B" w:rsidR="001C3770" w:rsidRPr="00FD6A2B" w:rsidRDefault="001C3770" w:rsidP="002F563F">
            <w:pPr>
              <w:pStyle w:val="ListParagraph"/>
              <w:numPr>
                <w:ilvl w:val="0"/>
                <w:numId w:val="35"/>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b/>
                <w:color w:val="000000" w:themeColor="text1"/>
                <w:sz w:val="20"/>
                <w:szCs w:val="20"/>
              </w:rPr>
              <w:t xml:space="preserve">31 iulie 2024 </w:t>
            </w:r>
            <w:r w:rsidRPr="00FD6A2B">
              <w:rPr>
                <w:rFonts w:ascii="Times New Roman" w:hAnsi="Times New Roman" w:cs="Times New Roman"/>
                <w:bCs/>
                <w:color w:val="000000" w:themeColor="text1"/>
                <w:sz w:val="20"/>
                <w:szCs w:val="20"/>
              </w:rPr>
              <w:t>– Termenul limită</w:t>
            </w:r>
            <w:r w:rsidRPr="00FD6A2B">
              <w:rPr>
                <w:rFonts w:ascii="Times New Roman" w:hAnsi="Times New Roman" w:cs="Times New Roman"/>
                <w:b/>
                <w:color w:val="000000" w:themeColor="text1"/>
                <w:sz w:val="20"/>
                <w:szCs w:val="20"/>
              </w:rPr>
              <w:t xml:space="preserve"> </w:t>
            </w:r>
            <w:r w:rsidRPr="00FD6A2B">
              <w:rPr>
                <w:rFonts w:ascii="Times New Roman" w:hAnsi="Times New Roman" w:cs="Times New Roman"/>
                <w:bCs/>
                <w:color w:val="000000" w:themeColor="text1"/>
                <w:sz w:val="20"/>
                <w:szCs w:val="20"/>
              </w:rPr>
              <w:t>pentru transmiterea de către fiecare stat membru către Comisia Europeană a cererii finale de plată intermediară aferentă programelor operaționale din cadrul financiar multianual 2014-2020;</w:t>
            </w:r>
          </w:p>
          <w:p w14:paraId="42AB50CA" w14:textId="54819DF4" w:rsidR="001C3770" w:rsidRPr="00FD6A2B" w:rsidRDefault="001C3770" w:rsidP="002F563F">
            <w:pPr>
              <w:pStyle w:val="ListParagraph"/>
              <w:numPr>
                <w:ilvl w:val="0"/>
                <w:numId w:val="35"/>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b/>
                <w:color w:val="000000" w:themeColor="text1"/>
                <w:sz w:val="20"/>
                <w:szCs w:val="20"/>
              </w:rPr>
              <w:t>15 februarie 2025</w:t>
            </w:r>
            <w:r w:rsidRPr="00FD6A2B">
              <w:rPr>
                <w:rFonts w:ascii="Times New Roman" w:hAnsi="Times New Roman" w:cs="Times New Roman"/>
                <w:color w:val="000000" w:themeColor="text1"/>
                <w:sz w:val="20"/>
                <w:szCs w:val="20"/>
              </w:rPr>
              <w:t xml:space="preserve"> (</w:t>
            </w:r>
            <w:r w:rsidRPr="00FD6A2B">
              <w:rPr>
                <w:rFonts w:ascii="Times New Roman" w:hAnsi="Times New Roman" w:cs="Times New Roman"/>
                <w:i/>
                <w:color w:val="000000" w:themeColor="text1"/>
                <w:sz w:val="20"/>
                <w:szCs w:val="20"/>
              </w:rPr>
              <w:t>cu posibilitate de prelungire până la 1 martie 2025 de către CE</w:t>
            </w:r>
            <w:r w:rsidRPr="00FD6A2B">
              <w:rPr>
                <w:rFonts w:ascii="Times New Roman" w:hAnsi="Times New Roman" w:cs="Times New Roman"/>
                <w:color w:val="000000" w:themeColor="text1"/>
                <w:sz w:val="20"/>
                <w:szCs w:val="20"/>
              </w:rPr>
              <w:t>) – Termenul limită pentru transmiterea către Comisia Europeană a pachetului de documente pentru închidere, format din aplicația de plată intermediară finală, raportul final de implementare, conturile pentru ultimul exercițiu contabil, declarația de management și raportul anual de sinteză, respectiv opinia de audit pentru ultimul exercițiu contabil, însoțită de raportul final de control al Autorității de Audit;</w:t>
            </w:r>
          </w:p>
          <w:p w14:paraId="0B958CF5" w14:textId="0DA9753F" w:rsidR="001C3770" w:rsidRPr="00FD6A2B" w:rsidRDefault="00E31952" w:rsidP="002F563F">
            <w:pPr>
              <w:pStyle w:val="ListParagraph"/>
              <w:numPr>
                <w:ilvl w:val="0"/>
                <w:numId w:val="35"/>
              </w:numPr>
              <w:autoSpaceDE w:val="0"/>
              <w:autoSpaceDN w:val="0"/>
              <w:adjustRightInd w:val="0"/>
              <w:spacing w:after="120"/>
              <w:jc w:val="both"/>
              <w:rPr>
                <w:rFonts w:ascii="Times New Roman" w:hAnsi="Times New Roman" w:cs="Times New Roman"/>
                <w:bCs/>
                <w:color w:val="000000" w:themeColor="text1"/>
                <w:sz w:val="20"/>
                <w:szCs w:val="20"/>
                <w:lang w:eastAsia="ro-RO"/>
              </w:rPr>
            </w:pPr>
            <w:r w:rsidRPr="00FD6A2B">
              <w:rPr>
                <w:rFonts w:ascii="Times New Roman" w:hAnsi="Times New Roman" w:cs="Times New Roman"/>
                <w:b/>
                <w:color w:val="000000" w:themeColor="text1"/>
                <w:sz w:val="20"/>
                <w:szCs w:val="20"/>
              </w:rPr>
              <w:t xml:space="preserve">15 februarie 2027 </w:t>
            </w:r>
            <w:r w:rsidRPr="00FD6A2B">
              <w:rPr>
                <w:rFonts w:ascii="Times New Roman" w:hAnsi="Times New Roman" w:cs="Times New Roman"/>
                <w:bCs/>
                <w:color w:val="000000" w:themeColor="text1"/>
                <w:sz w:val="20"/>
                <w:szCs w:val="20"/>
              </w:rPr>
              <w:t>– Termenul limită</w:t>
            </w:r>
            <w:r w:rsidRPr="00FD6A2B">
              <w:rPr>
                <w:rFonts w:ascii="Times New Roman" w:hAnsi="Times New Roman" w:cs="Times New Roman"/>
                <w:b/>
                <w:color w:val="000000" w:themeColor="text1"/>
                <w:sz w:val="20"/>
                <w:szCs w:val="20"/>
              </w:rPr>
              <w:t xml:space="preserve"> </w:t>
            </w:r>
            <w:r w:rsidR="0042254E" w:rsidRPr="00FD6A2B">
              <w:rPr>
                <w:rFonts w:ascii="Times New Roman" w:hAnsi="Times New Roman" w:cs="Times New Roman"/>
                <w:bCs/>
                <w:color w:val="000000" w:themeColor="text1"/>
                <w:sz w:val="20"/>
                <w:szCs w:val="20"/>
              </w:rPr>
              <w:t>pentru transmiterea către CE a raportării privind stadiul  finalizării proiectelor declarate nefuncționale.</w:t>
            </w:r>
          </w:p>
          <w:p w14:paraId="4F655768" w14:textId="58CCA04E" w:rsidR="00E525D2" w:rsidRPr="00FD6A2B" w:rsidRDefault="00E525D2" w:rsidP="008838DB">
            <w:pPr>
              <w:autoSpaceDE w:val="0"/>
              <w:autoSpaceDN w:val="0"/>
              <w:adjustRightInd w:val="0"/>
              <w:spacing w:after="120"/>
              <w:jc w:val="both"/>
              <w:rPr>
                <w:color w:val="000000" w:themeColor="text1"/>
                <w:sz w:val="20"/>
                <w:szCs w:val="20"/>
                <w:lang w:eastAsia="ro-RO"/>
              </w:rPr>
            </w:pPr>
            <w:r w:rsidRPr="00FD6A2B">
              <w:rPr>
                <w:color w:val="000000" w:themeColor="text1"/>
                <w:sz w:val="20"/>
                <w:szCs w:val="20"/>
                <w:lang w:eastAsia="ro-RO"/>
              </w:rPr>
              <w:t>În lipsa acestor măsuri, se pot înregistra următoarele efecte negative:</w:t>
            </w:r>
          </w:p>
          <w:p w14:paraId="3D2EBCFC" w14:textId="5A8C8CA4" w:rsidR="008A479D" w:rsidRPr="00FD6A2B" w:rsidRDefault="008A479D" w:rsidP="008A479D">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lastRenderedPageBreak/>
              <w:t>nu se vor respecta temenele de închidere a perioadei de programare 2014-2020;</w:t>
            </w:r>
          </w:p>
          <w:p w14:paraId="5CFC436C" w14:textId="07539DED" w:rsidR="008A479D" w:rsidRPr="00FD6A2B" w:rsidRDefault="008A479D" w:rsidP="008A479D">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se va afecta bugetul de stat prin creșterea cheltuielilor neeligibile;</w:t>
            </w:r>
          </w:p>
          <w:p w14:paraId="2DDE4898" w14:textId="05DD6C71" w:rsidR="008A479D" w:rsidRPr="00FD6A2B" w:rsidRDefault="008A479D" w:rsidP="008A479D">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nu se institui cadrul instituțional de monitorizarea a procesului de închidere;</w:t>
            </w:r>
          </w:p>
          <w:p w14:paraId="1A95CD85" w14:textId="3ED4106A" w:rsidR="008A479D" w:rsidRPr="00FD6A2B" w:rsidRDefault="008A479D" w:rsidP="008A479D">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nu se asigură continuitatea implementării proiectelor cu finanțare europeană;</w:t>
            </w:r>
          </w:p>
          <w:p w14:paraId="5A34E4E2" w14:textId="77777777" w:rsidR="008A479D" w:rsidRPr="00FD6A2B" w:rsidRDefault="008A479D" w:rsidP="008A479D">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procesul de închidere la nivelul autorităților de management nu se realiza într-o manieră unitară și coordonată;</w:t>
            </w:r>
          </w:p>
          <w:p w14:paraId="536755B3" w14:textId="1023B744" w:rsidR="00AE03F0" w:rsidRPr="00FD6A2B" w:rsidRDefault="00AE03F0" w:rsidP="008A479D">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evaluarea portofoliilor de proiecte care intră sub incidența prezentei ordonanțe de urgență nu se va gestiona pe principiile unei abordări unitare printr-un sistem de guvernanță care stabilește atribuțiile și responsabilitățile părților;</w:t>
            </w:r>
          </w:p>
          <w:p w14:paraId="7CAD5DDF" w14:textId="77777777" w:rsidR="00AE03F0" w:rsidRPr="00FD6A2B" w:rsidRDefault="00AE03F0" w:rsidP="008A479D">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închiderea necorespunzătoare a actualei perioade de programare va afecta perioada de programare 2021 -2027;</w:t>
            </w:r>
          </w:p>
          <w:p w14:paraId="416D2C7F" w14:textId="77777777" w:rsidR="00AE03F0" w:rsidRPr="00FD6A2B" w:rsidRDefault="008A479D" w:rsidP="00AE03F0">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 xml:space="preserve"> </w:t>
            </w:r>
            <w:r w:rsidR="00AE03F0" w:rsidRPr="00FD6A2B">
              <w:rPr>
                <w:rFonts w:ascii="Times New Roman" w:hAnsi="Times New Roman" w:cs="Times New Roman"/>
                <w:color w:val="000000" w:themeColor="text1"/>
                <w:sz w:val="20"/>
                <w:szCs w:val="20"/>
                <w:lang w:eastAsia="ro-RO"/>
              </w:rPr>
              <w:t>închiderea nu se va corela cu prevederile OUG nr. 64 din 9 mai 2022 privind ajustarea prețurilor și a valorii devizelor generale în cadrul proiectelor finanțate din fonduri externe nerambursabile, cu modificările și completările ulterioare și cu OUG 133/2021 privind gestionarea financiară a fondurilor europene pentru perioada de programare 2021-2027 alocate României din Fondul european de dezvoltare regională, Fondul de coeziune, Fondul social european Plus, Fondul pentru o tranziție justă;</w:t>
            </w:r>
          </w:p>
          <w:p w14:paraId="68869124" w14:textId="136697B6" w:rsidR="008A479D" w:rsidRPr="00FD6A2B" w:rsidRDefault="00AE03F0" w:rsidP="008A479D">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nu vor exista măsuri de securizare a proiectelor de importanță majoră specificate în proiectul de act normativ;</w:t>
            </w:r>
          </w:p>
          <w:p w14:paraId="61D6EA3F" w14:textId="6B5B8FE2" w:rsidR="00AE03F0" w:rsidRPr="00FD6A2B" w:rsidRDefault="00AE03F0" w:rsidP="008A479D">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nu se va asigura predictibilitatea finanțării și a surselor de finanțare în funcție de tipurile de proiecte;</w:t>
            </w:r>
          </w:p>
          <w:p w14:paraId="598A0622" w14:textId="592D8B81" w:rsidR="00AE03F0" w:rsidRPr="00FD6A2B" w:rsidRDefault="00AE03F0" w:rsidP="00AE03F0">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beneficiarii nu se vor mobiliza pentru a închide proiectelor care fac obiectul proiectului de act normativ;</w:t>
            </w:r>
          </w:p>
          <w:p w14:paraId="16865EA2" w14:textId="68BB79E7" w:rsidR="00DA67C1" w:rsidRPr="00FD6A2B" w:rsidRDefault="00DA67C1" w:rsidP="00DA67C1">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nu se va identifica corespunzător riscul de nefinalizare a investițiilor în termenul de eligibilitate, având în vedere faptul că nefinalizarea acestora poate conduce la o neîndeplinire gravă a obiectivelor selectate pentru cadrul de performanță, caz în care Comisia Europeană va aplica o corecție financiară în conformitate cu articolul 22 alineatul (7) din Regulamentul (UE) 2013/1303;</w:t>
            </w:r>
          </w:p>
          <w:p w14:paraId="434DB0D9" w14:textId="0A851632" w:rsidR="00DA67C1" w:rsidRPr="00FD6A2B" w:rsidRDefault="00654DEF" w:rsidP="003F73F9">
            <w:pPr>
              <w:pStyle w:val="ListParagraph"/>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conform prevederilor art. 15, alin. 5 din Ordonanţa de urgenţă a Guvernului nr. 40/2015, cu modificările şi completările ulterioare, sumele aferente prefinanțării acordate proiectelor finanțate din POIM care vor fi selectate pentru a fi incluse în lista proiectelor etapizate, vor trebui recuperate în totalitate la finalizarea etapei I</w:t>
            </w:r>
            <w:r w:rsidR="0072599B" w:rsidRPr="00FD6A2B">
              <w:rPr>
                <w:rFonts w:ascii="Times New Roman" w:hAnsi="Times New Roman" w:cs="Times New Roman"/>
                <w:color w:val="000000" w:themeColor="text1"/>
                <w:sz w:val="20"/>
                <w:szCs w:val="20"/>
                <w:lang w:eastAsia="ro-RO"/>
              </w:rPr>
              <w:t xml:space="preserve">. </w:t>
            </w:r>
          </w:p>
          <w:p w14:paraId="76FED729" w14:textId="2DEFAEFF" w:rsidR="00371E07" w:rsidRPr="008907E2" w:rsidRDefault="00371E07" w:rsidP="00AE03F0">
            <w:pPr>
              <w:autoSpaceDE w:val="0"/>
              <w:autoSpaceDN w:val="0"/>
              <w:adjustRightInd w:val="0"/>
              <w:spacing w:after="120"/>
              <w:jc w:val="both"/>
              <w:rPr>
                <w:sz w:val="20"/>
                <w:szCs w:val="20"/>
                <w:lang w:eastAsia="ro-RO"/>
              </w:rPr>
            </w:pPr>
            <w:r w:rsidRPr="008907E2">
              <w:rPr>
                <w:sz w:val="20"/>
                <w:szCs w:val="20"/>
                <w:lang w:eastAsia="ro-RO"/>
              </w:rPr>
              <w:t>Proiectul de act normativ reglementează, de asemenea, procedura și condițiile de etapizare</w:t>
            </w:r>
            <w:r w:rsidR="00962F03" w:rsidRPr="008907E2">
              <w:rPr>
                <w:sz w:val="20"/>
                <w:szCs w:val="20"/>
                <w:lang w:eastAsia="ro-RO"/>
              </w:rPr>
              <w:t xml:space="preserve"> </w:t>
            </w:r>
            <w:r w:rsidRPr="008907E2">
              <w:rPr>
                <w:sz w:val="20"/>
                <w:szCs w:val="20"/>
                <w:lang w:eastAsia="ro-RO"/>
              </w:rPr>
              <w:t xml:space="preserve">pentru proiectele/operațiunile contractate în cadrul programelor operaționale 2014-2020 și care nu sunt finalizate până la 31 decembrie 2023 și pentru a căror finalizare este necesară asigurarea finanțării din programele aprobate pentru perioada 2021-2027 (etapa II a respectivelor proiecte/operațiuni). </w:t>
            </w:r>
            <w:r w:rsidR="00AD07B4" w:rsidRPr="008907E2">
              <w:rPr>
                <w:sz w:val="20"/>
                <w:szCs w:val="20"/>
                <w:lang w:eastAsia="ro-RO"/>
              </w:rPr>
              <w:t xml:space="preserve">În absența etapizării, respectiv a preluării </w:t>
            </w:r>
            <w:r w:rsidR="00095A6A" w:rsidRPr="008907E2">
              <w:rPr>
                <w:sz w:val="20"/>
                <w:szCs w:val="20"/>
                <w:lang w:eastAsia="ro-RO"/>
              </w:rPr>
              <w:t xml:space="preserve">finanțării etapei II </w:t>
            </w:r>
            <w:r w:rsidR="00AD07B4" w:rsidRPr="008907E2">
              <w:rPr>
                <w:sz w:val="20"/>
                <w:szCs w:val="20"/>
                <w:lang w:eastAsia="ro-RO"/>
              </w:rPr>
              <w:t xml:space="preserve">în programele 2021-2027, în condițiile în care aceste proiecte/operațiuni sunt implementate de autorități și instituții publice, sumele necesare pentru finalizare </w:t>
            </w:r>
            <w:r w:rsidR="00095A6A" w:rsidRPr="008907E2">
              <w:rPr>
                <w:sz w:val="20"/>
                <w:szCs w:val="20"/>
                <w:lang w:eastAsia="ro-RO"/>
              </w:rPr>
              <w:t xml:space="preserve">ar </w:t>
            </w:r>
            <w:r w:rsidR="00AD07B4" w:rsidRPr="008907E2">
              <w:rPr>
                <w:sz w:val="20"/>
                <w:szCs w:val="20"/>
                <w:lang w:eastAsia="ro-RO"/>
              </w:rPr>
              <w:t>trebui suportate din surse publice (bugetul de stat/local), cu efecte negative asupra deficitului bugetar. Precizăm că România se află în procedură de defici</w:t>
            </w:r>
            <w:r w:rsidR="00962F03" w:rsidRPr="008907E2">
              <w:rPr>
                <w:sz w:val="20"/>
                <w:szCs w:val="20"/>
                <w:lang w:eastAsia="ro-RO"/>
              </w:rPr>
              <w:t>t</w:t>
            </w:r>
            <w:r w:rsidR="00AD07B4" w:rsidRPr="008907E2">
              <w:rPr>
                <w:sz w:val="20"/>
                <w:szCs w:val="20"/>
                <w:lang w:eastAsia="ro-RO"/>
              </w:rPr>
              <w:t xml:space="preserve"> excesiv, inițiată în luna aprilie 2020,  procedură care, potrivit recomandări</w:t>
            </w:r>
            <w:r w:rsidR="00962F03" w:rsidRPr="008907E2">
              <w:rPr>
                <w:sz w:val="20"/>
                <w:szCs w:val="20"/>
                <w:lang w:eastAsia="ro-RO"/>
              </w:rPr>
              <w:t>i</w:t>
            </w:r>
            <w:r w:rsidR="00AD07B4" w:rsidRPr="008907E2">
              <w:rPr>
                <w:sz w:val="20"/>
                <w:szCs w:val="20"/>
                <w:lang w:eastAsia="ro-RO"/>
              </w:rPr>
              <w:t xml:space="preserve"> Consiliului UE trebuie încheiată până la finalul anului 2024. În planificarea bugetară pentru anul 2023 și în estimările pentru perioada 2024-2026 (</w:t>
            </w:r>
            <w:r w:rsidR="008F7D31" w:rsidRPr="008907E2">
              <w:rPr>
                <w:sz w:val="20"/>
                <w:szCs w:val="20"/>
                <w:lang w:eastAsia="ro-RO"/>
              </w:rPr>
              <w:t>adresa Ministerului Finanțelor</w:t>
            </w:r>
            <w:r w:rsidR="00AD07B4" w:rsidRPr="008907E2">
              <w:rPr>
                <w:sz w:val="20"/>
                <w:szCs w:val="20"/>
                <w:lang w:eastAsia="ro-RO"/>
              </w:rPr>
              <w:t xml:space="preserve"> 1013558/2023)</w:t>
            </w:r>
            <w:r w:rsidR="00962F03" w:rsidRPr="008907E2">
              <w:rPr>
                <w:sz w:val="20"/>
                <w:szCs w:val="20"/>
                <w:lang w:eastAsia="ro-RO"/>
              </w:rPr>
              <w:t>, România și-a menținut an</w:t>
            </w:r>
            <w:r w:rsidR="00AD07B4" w:rsidRPr="008907E2">
              <w:rPr>
                <w:sz w:val="20"/>
                <w:szCs w:val="20"/>
                <w:lang w:eastAsia="ro-RO"/>
              </w:rPr>
              <w:t>gajamentul ferm de ajustare a deficitului bugetar</w:t>
            </w:r>
            <w:r w:rsidR="00962F03" w:rsidRPr="008907E2">
              <w:rPr>
                <w:sz w:val="20"/>
                <w:szCs w:val="20"/>
                <w:lang w:eastAsia="ro-RO"/>
              </w:rPr>
              <w:t xml:space="preserve"> și de a atinge ținta prevăzută de regulamentele europene pentru deficitul bugetar</w:t>
            </w:r>
            <w:r w:rsidR="00AD07B4" w:rsidRPr="008907E2">
              <w:rPr>
                <w:sz w:val="20"/>
                <w:szCs w:val="20"/>
                <w:lang w:eastAsia="ro-RO"/>
              </w:rPr>
              <w:t xml:space="preserve">, aceasta fiind o prioritate în abordarea bugetară. </w:t>
            </w:r>
            <w:r w:rsidR="00962F03" w:rsidRPr="008907E2">
              <w:rPr>
                <w:sz w:val="20"/>
                <w:szCs w:val="20"/>
                <w:lang w:eastAsia="ro-RO"/>
              </w:rPr>
              <w:t>În absența etapizării, proiectele vor avea</w:t>
            </w:r>
            <w:r w:rsidR="005D34E3" w:rsidRPr="008907E2">
              <w:rPr>
                <w:sz w:val="20"/>
                <w:szCs w:val="20"/>
                <w:lang w:eastAsia="ro-RO"/>
              </w:rPr>
              <w:t xml:space="preserve"> efecte negative nu doar asupra dezvoltării socio-economice, precum și</w:t>
            </w:r>
            <w:r w:rsidR="00962F03" w:rsidRPr="008907E2">
              <w:rPr>
                <w:sz w:val="20"/>
                <w:szCs w:val="20"/>
                <w:lang w:eastAsia="ro-RO"/>
              </w:rPr>
              <w:t xml:space="preserve"> un impact negativ asupra  </w:t>
            </w:r>
            <w:r w:rsidR="005D34E3" w:rsidRPr="008907E2">
              <w:rPr>
                <w:sz w:val="20"/>
                <w:szCs w:val="20"/>
                <w:lang w:eastAsia="ro-RO"/>
              </w:rPr>
              <w:t xml:space="preserve">deficitului bugetar prin nerespectarea căii de ajustare a deficitului bugetar, situație care va  afecta interesul public general și </w:t>
            </w:r>
            <w:r w:rsidR="008A10F4" w:rsidRPr="008907E2">
              <w:rPr>
                <w:sz w:val="20"/>
                <w:szCs w:val="20"/>
                <w:lang w:eastAsia="ro-RO"/>
              </w:rPr>
              <w:t>va conduce la (posibile) sancțiuni  prevăzute de regulamentele europene</w:t>
            </w:r>
            <w:r w:rsidR="00FF1660" w:rsidRPr="008907E2">
              <w:rPr>
                <w:sz w:val="20"/>
                <w:szCs w:val="20"/>
                <w:lang w:eastAsia="ro-RO"/>
              </w:rPr>
              <w:t xml:space="preserve"> </w:t>
            </w:r>
            <w:r w:rsidR="008A10F4" w:rsidRPr="008907E2">
              <w:rPr>
                <w:sz w:val="20"/>
                <w:szCs w:val="20"/>
                <w:lang w:eastAsia="ro-RO"/>
              </w:rPr>
              <w:t xml:space="preserve">(ref. MF 1013558/2023), astfel: suspendarea parțială sau integrală a angajamentelor sau a plăților pentru programele unui stat membreu în conformitate cu prevederile art. 23 din Regulamentul (UE) 2013/1303 </w:t>
            </w:r>
            <w:r w:rsidR="00FF1660" w:rsidRPr="008907E2">
              <w:rPr>
                <w:sz w:val="20"/>
                <w:szCs w:val="20"/>
                <w:lang w:eastAsia="ro-RO"/>
              </w:rPr>
              <w:t>cu modificările și completările ulterioare și/sau ale art. 10 din Regulamentul (UE) 2021/241 cu modificările și completările ulterioare.</w:t>
            </w:r>
            <w:r w:rsidR="009C6F12" w:rsidRPr="008907E2">
              <w:rPr>
                <w:sz w:val="20"/>
                <w:szCs w:val="20"/>
                <w:lang w:eastAsia="ro-RO"/>
              </w:rPr>
              <w:t xml:space="preserve"> În aceste condiții, </w:t>
            </w:r>
            <w:r w:rsidR="00B27936" w:rsidRPr="008907E2">
              <w:rPr>
                <w:sz w:val="20"/>
                <w:szCs w:val="20"/>
                <w:lang w:eastAsia="ro-RO"/>
              </w:rPr>
              <w:t xml:space="preserve">dată fiind imposibilitatea acoperirii necesarului de finanțat pentru aceste proiecte/operațiuni din bugetul de stat (etapa II), </w:t>
            </w:r>
            <w:r w:rsidR="009C6F12" w:rsidRPr="008907E2">
              <w:rPr>
                <w:sz w:val="20"/>
                <w:szCs w:val="20"/>
                <w:lang w:eastAsia="ro-RO"/>
              </w:rPr>
              <w:t xml:space="preserve">etapizarea reprezintă o soluție care este necesar a fi implementată prin proiectul de act normativ, </w:t>
            </w:r>
            <w:r w:rsidR="00B27936" w:rsidRPr="008907E2">
              <w:rPr>
                <w:sz w:val="20"/>
                <w:szCs w:val="20"/>
                <w:lang w:eastAsia="ro-RO"/>
              </w:rPr>
              <w:t xml:space="preserve">atât </w:t>
            </w:r>
            <w:r w:rsidR="009C6F12" w:rsidRPr="008907E2">
              <w:rPr>
                <w:sz w:val="20"/>
                <w:szCs w:val="20"/>
                <w:lang w:eastAsia="ro-RO"/>
              </w:rPr>
              <w:t xml:space="preserve">pentru a realiza obiectivele de dezvoltare economică și socială fără un impact suplimentar asupra bugetului de stat, cât și </w:t>
            </w:r>
            <w:r w:rsidR="00B27936" w:rsidRPr="008907E2">
              <w:rPr>
                <w:sz w:val="20"/>
                <w:szCs w:val="20"/>
                <w:lang w:eastAsia="ro-RO"/>
              </w:rPr>
              <w:t xml:space="preserve">pentru </w:t>
            </w:r>
            <w:r w:rsidR="009C6F12" w:rsidRPr="008907E2">
              <w:rPr>
                <w:sz w:val="20"/>
                <w:szCs w:val="20"/>
                <w:lang w:eastAsia="ro-RO"/>
              </w:rPr>
              <w:t xml:space="preserve">atingerea țintelor de deficit bugetar stabilite prin regulamentele europene. </w:t>
            </w:r>
          </w:p>
          <w:p w14:paraId="4BE27F9E" w14:textId="7DE93763" w:rsidR="00AE03F0" w:rsidRPr="00FD6A2B" w:rsidRDefault="00AE03F0" w:rsidP="00AE03F0">
            <w:pPr>
              <w:autoSpaceDE w:val="0"/>
              <w:autoSpaceDN w:val="0"/>
              <w:adjustRightInd w:val="0"/>
              <w:spacing w:after="120"/>
              <w:jc w:val="both"/>
              <w:rPr>
                <w:color w:val="000000" w:themeColor="text1"/>
                <w:sz w:val="20"/>
                <w:szCs w:val="20"/>
                <w:lang w:eastAsia="ro-RO"/>
              </w:rPr>
            </w:pPr>
            <w:r w:rsidRPr="00FD6A2B">
              <w:rPr>
                <w:color w:val="000000" w:themeColor="text1"/>
                <w:sz w:val="20"/>
                <w:szCs w:val="20"/>
                <w:lang w:eastAsia="ro-RO"/>
              </w:rPr>
              <w:t>Față de cele arătate mai sus, având în vedere că elementele menționate vizează interesul strategic național și sunt o prioritate imediată pentru toate autoritățile de management care gestionează fonduri externe nerambursabile, reprezintă o urgență pentru Guvernul României, a cărei reglementare nu poate fi amânată, se impune adoptarea de măsuri imediate pe calea ordonanței de urgență.</w:t>
            </w:r>
          </w:p>
          <w:p w14:paraId="270FBB78" w14:textId="3C8DB6F0" w:rsidR="008B32E9" w:rsidRPr="00FD6A2B" w:rsidRDefault="00223491" w:rsidP="00AC61D6">
            <w:pPr>
              <w:pStyle w:val="ListParagraph"/>
              <w:numPr>
                <w:ilvl w:val="1"/>
                <w:numId w:val="33"/>
              </w:numPr>
              <w:autoSpaceDE w:val="0"/>
              <w:autoSpaceDN w:val="0"/>
              <w:adjustRightInd w:val="0"/>
              <w:spacing w:after="120"/>
              <w:jc w:val="both"/>
              <w:rPr>
                <w:rFonts w:ascii="Times New Roman" w:hAnsi="Times New Roman" w:cs="Times New Roman"/>
                <w:b/>
                <w:color w:val="000000" w:themeColor="text1"/>
                <w:sz w:val="20"/>
                <w:szCs w:val="20"/>
                <w:lang w:eastAsia="ro-RO"/>
              </w:rPr>
            </w:pPr>
            <w:r w:rsidRPr="00FD6A2B">
              <w:rPr>
                <w:rFonts w:ascii="Times New Roman" w:hAnsi="Times New Roman" w:cs="Times New Roman"/>
                <w:b/>
                <w:color w:val="000000" w:themeColor="text1"/>
                <w:sz w:val="20"/>
                <w:szCs w:val="20"/>
                <w:lang w:eastAsia="ro-RO"/>
              </w:rPr>
              <w:t>Schimbări preconizate</w:t>
            </w:r>
          </w:p>
          <w:p w14:paraId="51489705" w14:textId="77777777" w:rsidR="00DA67C1" w:rsidRPr="00FD6A2B" w:rsidRDefault="00DA67C1" w:rsidP="00DA67C1">
            <w:pPr>
              <w:autoSpaceDE w:val="0"/>
              <w:autoSpaceDN w:val="0"/>
              <w:adjustRightInd w:val="0"/>
              <w:spacing w:after="120"/>
              <w:jc w:val="both"/>
              <w:rPr>
                <w:color w:val="000000" w:themeColor="text1"/>
                <w:sz w:val="20"/>
                <w:szCs w:val="20"/>
                <w:lang w:eastAsia="ro-RO"/>
              </w:rPr>
            </w:pPr>
            <w:r w:rsidRPr="00FD6A2B">
              <w:rPr>
                <w:color w:val="000000" w:themeColor="text1"/>
                <w:sz w:val="20"/>
                <w:szCs w:val="20"/>
                <w:lang w:eastAsia="ro-RO"/>
              </w:rPr>
              <w:t>Principalele obiective a proiectului de act normativ:</w:t>
            </w:r>
          </w:p>
          <w:p w14:paraId="68D68AFB" w14:textId="77777777" w:rsidR="00DA67C1" w:rsidRPr="00FD6A2B" w:rsidRDefault="00DA67C1" w:rsidP="00DA67C1">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reglementează cadrul general, privind măsurile, activitățile, condițiile și termenele generale care trebuie respectate de către toate structurile implicate în închiderea programelor operaționale finanțate în perioada de programare 2014-2020;</w:t>
            </w:r>
          </w:p>
          <w:p w14:paraId="099EBC2B" w14:textId="77777777" w:rsidR="00DA67C1" w:rsidRPr="00FD6A2B" w:rsidRDefault="00DA67C1" w:rsidP="00DA67C1">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asigură o abordare unitară a autorităților de management în procesul de închidere;</w:t>
            </w:r>
          </w:p>
          <w:p w14:paraId="29A57033" w14:textId="77777777" w:rsidR="00DA67C1" w:rsidRPr="00FD6A2B" w:rsidRDefault="00DA67C1" w:rsidP="00DA67C1">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asigură continuitatea și predictibilitatea implementării proiectelor cu finanțare europeană în următoarea perioadă de programare;</w:t>
            </w:r>
          </w:p>
          <w:p w14:paraId="4ACE1F4E" w14:textId="77777777" w:rsidR="00DA67C1" w:rsidRPr="00FD6A2B" w:rsidRDefault="00DA67C1" w:rsidP="00DA67C1">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prevede cadrul necesar autorităților de management pentru evaluarea portofoliilor de proiecte finanțate în cadrul exercițiului financiar 2014-2020, pentru a identifica riscul de nefinalizare a investițiilor în termenul de eligibilitate,</w:t>
            </w:r>
          </w:p>
          <w:p w14:paraId="6093D7D0" w14:textId="77777777" w:rsidR="00DA67C1" w:rsidRPr="00FD6A2B" w:rsidRDefault="00DA67C1" w:rsidP="00DA67C1">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 xml:space="preserve">prevede mecanismele de asigurare a finalizării proiectelor precum și a îndeplinirii indicatorilor de performanta asumați în cadrul programelor operaționale, având în vedere faptul că nefinalizarea acestora poate conduce la o neîndeplinire </w:t>
            </w:r>
            <w:r w:rsidRPr="00FD6A2B">
              <w:rPr>
                <w:rFonts w:ascii="Times New Roman" w:hAnsi="Times New Roman" w:cs="Times New Roman"/>
                <w:color w:val="000000" w:themeColor="text1"/>
                <w:sz w:val="20"/>
                <w:szCs w:val="20"/>
                <w:lang w:eastAsia="ro-RO"/>
              </w:rPr>
              <w:lastRenderedPageBreak/>
              <w:t>gravă a obiectivelor selectate pentru cadrul de performanță, caz în care Comisia Europeană va aplica o corecție financiară în conformitate cu articolul 22 alineatul (7) din Regulamentul (UE) 2013/1303;</w:t>
            </w:r>
          </w:p>
          <w:p w14:paraId="22CB36A8" w14:textId="77777777" w:rsidR="00DA67C1" w:rsidRPr="00FD6A2B" w:rsidRDefault="00DA67C1" w:rsidP="00DA67C1">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stabilește și definește tipurile de proiecte care fac obiectul procesului de închidere (proiecte etapizate, proiecte nefuncționale, proiecte nefinalizate, proiecte ce trebuie reziliate)</w:t>
            </w:r>
          </w:p>
          <w:p w14:paraId="68FC9AAE" w14:textId="77777777" w:rsidR="00DA67C1" w:rsidRPr="00FD6A2B" w:rsidRDefault="00DA67C1" w:rsidP="00DA67C1">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instituie condițiile ce trebuie respectate pentru încadrarea proiectelor în categoriile menționate mai sus;</w:t>
            </w:r>
          </w:p>
          <w:p w14:paraId="3DC6E246" w14:textId="77777777" w:rsidR="00DA67C1" w:rsidRPr="00FD6A2B" w:rsidRDefault="00DA67C1" w:rsidP="00DA67C1">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 xml:space="preserve">reglementează termenul prevăzut pentru modificarea programelor operaționale în raport cu analiza premergătoare efectuată de autoritățile de management pe baza portofoliilor de proiecte. </w:t>
            </w:r>
          </w:p>
          <w:p w14:paraId="11E361D6" w14:textId="3C4551CF" w:rsidR="00DA67C1" w:rsidRPr="00FD6A2B" w:rsidRDefault="00DA67C1" w:rsidP="00DA67C1">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prevedere condițiile de compensare a sumelor privind neregulile cu sumele din cheltuielile suprarezervate în conformitate cu normele prevăzute de legislația europeană în vigoare;</w:t>
            </w:r>
          </w:p>
          <w:p w14:paraId="5B2D1061" w14:textId="77777777" w:rsidR="00DA67C1" w:rsidRPr="00FD6A2B" w:rsidRDefault="00DA67C1" w:rsidP="00DA67C1">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asigură corelarea reglementării închiderii programelor operaționale finanțate în perioada de programare 2014-2020 cu prevederile OUG nr. 64 din 9 mai 2022 privind ajustarea prețurilor și a valorii devizelor generale în cadrul proiectelor finanțate din fonduri externe nerambursabile, cu modificările și completările ulterioare și cu OUG 133/2021 privind gestionarea financiară a fondurilor europene pentru perioada de programare 2021-2027 alocate României din Fondul european de dezvoltare regională, Fondul de coeziune, Fondul social european Plus, Fondul pentru o tranziție justă;</w:t>
            </w:r>
          </w:p>
          <w:p w14:paraId="6ADA3792" w14:textId="77777777" w:rsidR="00DA67C1" w:rsidRPr="00FD6A2B" w:rsidRDefault="00DA67C1" w:rsidP="00DA67C1">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stabilește, definește și reglementează categoria de cheltuielile suprarezervate;</w:t>
            </w:r>
          </w:p>
          <w:p w14:paraId="5092D02D" w14:textId="77777777" w:rsidR="00DA67C1" w:rsidRPr="00FD6A2B" w:rsidRDefault="00DA67C1" w:rsidP="00DA67C1">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nominalizează măsurile specifice unor proiecte de importanță majoră pentru România, astfel încât aceste măsuri să asigure gestionarea în bune condiții a acestor proiecte, continuitatea și predictibilitatea acestora;</w:t>
            </w:r>
          </w:p>
          <w:p w14:paraId="2B493D2B" w14:textId="7777715F" w:rsidR="00DA67C1" w:rsidRPr="00FD6A2B" w:rsidRDefault="00DA67C1" w:rsidP="00DA67C1">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stabilește termenul pentru depunerea cererii finale de rambursare</w:t>
            </w:r>
            <w:r w:rsidR="002C68BC" w:rsidRPr="00FD6A2B">
              <w:rPr>
                <w:rFonts w:ascii="Times New Roman" w:hAnsi="Times New Roman" w:cs="Times New Roman"/>
                <w:color w:val="000000" w:themeColor="text1"/>
                <w:sz w:val="20"/>
                <w:szCs w:val="20"/>
                <w:lang w:eastAsia="ro-RO"/>
              </w:rPr>
              <w:t xml:space="preserve"> de către beneficiari</w:t>
            </w:r>
            <w:r w:rsidRPr="00FD6A2B">
              <w:rPr>
                <w:rFonts w:ascii="Times New Roman" w:hAnsi="Times New Roman" w:cs="Times New Roman"/>
                <w:color w:val="000000" w:themeColor="text1"/>
                <w:sz w:val="20"/>
                <w:szCs w:val="20"/>
                <w:lang w:eastAsia="ro-RO"/>
              </w:rPr>
              <w:t>, cu sancțiunea de nerespectare a acestuia, pentru a asigura premisele unui timp suficient pentru autoritățile de management a elaboreze corelat documentele de închidere;</w:t>
            </w:r>
          </w:p>
          <w:p w14:paraId="33BC66E6" w14:textId="40C5DE75" w:rsidR="00DA67C1" w:rsidRPr="00FD6A2B" w:rsidRDefault="00DA67C1" w:rsidP="00DA67C1">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instituie prevederi care să asigure continuitatea finanțării, stabilește titularii, responsabilitățile și sursele de finanțare pentru portofoliul de proiecte care intră sub incidența acestui act normativ, pornind de la necesitățile identificate și argumentate de autoritățile de management;</w:t>
            </w:r>
          </w:p>
          <w:p w14:paraId="073948F1" w14:textId="77777777" w:rsidR="00236429" w:rsidRPr="00FD6A2B" w:rsidRDefault="00236429" w:rsidP="00236429">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stabilește obligațiile și atribuțiile autorităților de management pentru programele 2021-2027 în vederea preluării la finanțare a etapei a IIa a proiectelor care fac obiectul etapizării în condițiile prevăzute la art. 118 sau 118a din Regulamentul (UE) 2021/1060, cu modificările și completările ulterioare;</w:t>
            </w:r>
          </w:p>
          <w:p w14:paraId="01F3F637" w14:textId="5D23D8A6" w:rsidR="00236429" w:rsidRPr="00FD6A2B" w:rsidRDefault="00236429" w:rsidP="007A7500">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 xml:space="preserve">definește cadrul general  pentru guvernanța la nivel național pentru procesul de închidere a programelor operaționale 2014-2020; </w:t>
            </w:r>
          </w:p>
          <w:p w14:paraId="13DDA80A" w14:textId="2D2DED93" w:rsidR="00FD6500" w:rsidRPr="00FD6A2B" w:rsidRDefault="00DA67C1" w:rsidP="00FD6500">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se stabilesc regulile pentru categoriile de proiecte care fac obiectul unei proceduri judiciare/unui recurs administrativ cu efect suspensiv pentru care sunt sume suspendate de la procedura de declarare/certificare, în baza prevederilor legale europene și naționale</w:t>
            </w:r>
            <w:r w:rsidR="00FD6500" w:rsidRPr="00FD6A2B">
              <w:rPr>
                <w:rFonts w:ascii="Times New Roman" w:hAnsi="Times New Roman" w:cs="Times New Roman"/>
                <w:color w:val="000000" w:themeColor="text1"/>
                <w:sz w:val="20"/>
                <w:szCs w:val="20"/>
                <w:lang w:eastAsia="ro-RO"/>
              </w:rPr>
              <w:t>;</w:t>
            </w:r>
          </w:p>
          <w:p w14:paraId="73E5474E" w14:textId="4C9A01CC" w:rsidR="00654DEF" w:rsidRPr="00FD6A2B" w:rsidRDefault="00654DEF" w:rsidP="00A001AD">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Se creează baza legală pentru asigurarea unor fonduri</w:t>
            </w:r>
            <w:r w:rsidRPr="00FD6A2B">
              <w:rPr>
                <w:rFonts w:ascii="Times New Roman" w:hAnsi="Times New Roman" w:cs="Times New Roman"/>
                <w:color w:val="000000" w:themeColor="text1"/>
                <w:sz w:val="20"/>
                <w:szCs w:val="20"/>
              </w:rPr>
              <w:t xml:space="preserve"> </w:t>
            </w:r>
            <w:r w:rsidRPr="00FD6A2B">
              <w:rPr>
                <w:rFonts w:ascii="Times New Roman" w:hAnsi="Times New Roman" w:cs="Times New Roman"/>
                <w:color w:val="000000" w:themeColor="text1"/>
                <w:sz w:val="20"/>
                <w:szCs w:val="20"/>
                <w:lang w:eastAsia="ro-RO"/>
              </w:rPr>
              <w:t>temporare în bugetul Ministerului Investiţiilor şi Proiectelor Europene, cu rol de Autoritate de management pentru Programul operaţional Infrastructură mare 2014-2020, la o poziţie bugetară distinctă din cadrul Titlului X “Proiecte cu finanţare din fonduri externe nerambursabile aferente cadrului financiar 2014-2020”, cod 58</w:t>
            </w:r>
            <w:r w:rsidR="00A001AD" w:rsidRPr="00FD6A2B">
              <w:rPr>
                <w:rFonts w:ascii="Times New Roman" w:hAnsi="Times New Roman" w:cs="Times New Roman"/>
                <w:color w:val="000000" w:themeColor="text1"/>
                <w:sz w:val="20"/>
                <w:szCs w:val="20"/>
                <w:lang w:eastAsia="ro-RO"/>
              </w:rPr>
              <w:t>, pentru a s</w:t>
            </w:r>
            <w:r w:rsidRPr="00FD6A2B">
              <w:rPr>
                <w:rFonts w:ascii="Times New Roman" w:hAnsi="Times New Roman" w:cs="Times New Roman"/>
                <w:color w:val="000000" w:themeColor="text1"/>
                <w:sz w:val="20"/>
                <w:szCs w:val="20"/>
                <w:lang w:eastAsia="ro-RO"/>
              </w:rPr>
              <w:t xml:space="preserve">e asigura reîntregirea </w:t>
            </w:r>
            <w:r w:rsidR="00215128" w:rsidRPr="00FD6A2B">
              <w:rPr>
                <w:rFonts w:ascii="Times New Roman" w:hAnsi="Times New Roman" w:cs="Times New Roman"/>
                <w:color w:val="000000" w:themeColor="text1"/>
                <w:sz w:val="20"/>
                <w:szCs w:val="20"/>
                <w:lang w:eastAsia="ro-RO"/>
              </w:rPr>
              <w:t>sumelor suportate temporar</w:t>
            </w:r>
            <w:r w:rsidRPr="00FD6A2B">
              <w:rPr>
                <w:rFonts w:ascii="Times New Roman" w:hAnsi="Times New Roman" w:cs="Times New Roman"/>
                <w:color w:val="000000" w:themeColor="text1"/>
                <w:sz w:val="20"/>
                <w:szCs w:val="20"/>
                <w:lang w:eastAsia="ro-RO"/>
              </w:rPr>
              <w:t>, după semnarea contractelor de finanțare pentru etapa a II-a a proiectelor etapizate în cadrul Programul Dezvoltare Durabilă 2021 – 2027, cu o parte din sumele acordate în cadrul acestora în conformitate cu prevederile art. IV – “Prefinanțare” din Ordonanţa de urgenţă a Guvernului nr.133/2021</w:t>
            </w:r>
            <w:r w:rsidR="00EE0279" w:rsidRPr="00FD6A2B">
              <w:rPr>
                <w:rFonts w:ascii="Times New Roman" w:hAnsi="Times New Roman" w:cs="Times New Roman"/>
                <w:color w:val="000000" w:themeColor="text1"/>
                <w:sz w:val="20"/>
                <w:szCs w:val="20"/>
                <w:lang w:eastAsia="ro-RO"/>
              </w:rPr>
              <w:t>, fără a exista vreun impact bugetar;</w:t>
            </w:r>
          </w:p>
          <w:p w14:paraId="02173981" w14:textId="381C4EFA" w:rsidR="00FD6500" w:rsidRPr="00FD6A2B" w:rsidRDefault="00654DEF" w:rsidP="00FD6500">
            <w:pPr>
              <w:pStyle w:val="ListParagraph"/>
              <w:numPr>
                <w:ilvl w:val="0"/>
                <w:numId w:val="34"/>
              </w:numPr>
              <w:autoSpaceDE w:val="0"/>
              <w:autoSpaceDN w:val="0"/>
              <w:adjustRightInd w:val="0"/>
              <w:spacing w:after="120"/>
              <w:jc w:val="both"/>
              <w:rPr>
                <w:rFonts w:ascii="Times New Roman" w:hAnsi="Times New Roman" w:cs="Times New Roman"/>
                <w:color w:val="000000" w:themeColor="text1"/>
                <w:sz w:val="20"/>
                <w:szCs w:val="20"/>
                <w:lang w:eastAsia="ro-RO"/>
              </w:rPr>
            </w:pPr>
            <w:r w:rsidRPr="00FD6A2B">
              <w:rPr>
                <w:rFonts w:ascii="Times New Roman" w:hAnsi="Times New Roman" w:cs="Times New Roman"/>
                <w:color w:val="000000" w:themeColor="text1"/>
                <w:sz w:val="20"/>
                <w:szCs w:val="20"/>
                <w:lang w:eastAsia="ro-RO"/>
              </w:rPr>
              <w:t>Se a</w:t>
            </w:r>
            <w:r w:rsidR="00FD6500" w:rsidRPr="00FD6A2B">
              <w:rPr>
                <w:rFonts w:ascii="Times New Roman" w:hAnsi="Times New Roman" w:cs="Times New Roman"/>
                <w:color w:val="000000" w:themeColor="text1"/>
                <w:sz w:val="20"/>
                <w:szCs w:val="20"/>
                <w:lang w:eastAsia="ro-RO"/>
              </w:rPr>
              <w:t xml:space="preserve">sigură </w:t>
            </w:r>
            <w:r w:rsidRPr="00FD6A2B">
              <w:rPr>
                <w:rFonts w:ascii="Times New Roman" w:hAnsi="Times New Roman" w:cs="Times New Roman"/>
                <w:color w:val="000000" w:themeColor="text1"/>
                <w:sz w:val="20"/>
                <w:szCs w:val="20"/>
                <w:lang w:eastAsia="ro-RO"/>
              </w:rPr>
              <w:t xml:space="preserve">astfel </w:t>
            </w:r>
            <w:r w:rsidR="00FD6500" w:rsidRPr="00FD6A2B">
              <w:rPr>
                <w:rFonts w:ascii="Times New Roman" w:hAnsi="Times New Roman" w:cs="Times New Roman"/>
                <w:color w:val="000000" w:themeColor="text1"/>
                <w:sz w:val="20"/>
                <w:szCs w:val="20"/>
                <w:lang w:eastAsia="ro-RO"/>
              </w:rPr>
              <w:t>fluxurile financiare necesare beneficiarilor proiectelor finanțate din POIM în cazul implementării proiectelor etapizate, prin eliminarea riscului de blocaj financiar cu consecințe negative ale cash-flow-ului fiecărui proiect, corelând finalizarea etapei I din POIM cu semnarea contractelor</w:t>
            </w:r>
            <w:r w:rsidRPr="00FD6A2B">
              <w:rPr>
                <w:rFonts w:ascii="Times New Roman" w:hAnsi="Times New Roman" w:cs="Times New Roman"/>
                <w:color w:val="000000" w:themeColor="text1"/>
                <w:sz w:val="20"/>
                <w:szCs w:val="20"/>
                <w:lang w:eastAsia="ro-RO"/>
              </w:rPr>
              <w:t xml:space="preserve"> de finanțare</w:t>
            </w:r>
            <w:r w:rsidR="00FD6500" w:rsidRPr="00FD6A2B">
              <w:rPr>
                <w:rFonts w:ascii="Times New Roman" w:hAnsi="Times New Roman" w:cs="Times New Roman"/>
                <w:color w:val="000000" w:themeColor="text1"/>
                <w:sz w:val="20"/>
                <w:szCs w:val="20"/>
                <w:lang w:eastAsia="ro-RO"/>
              </w:rPr>
              <w:t xml:space="preserve"> și începerea implementării etapei II în cadrul PDD.</w:t>
            </w:r>
          </w:p>
          <w:p w14:paraId="51083D50" w14:textId="4B43C966" w:rsidR="00DA67C1" w:rsidRPr="00FD6A2B" w:rsidRDefault="000A3A24" w:rsidP="00DA67C1">
            <w:pPr>
              <w:autoSpaceDE w:val="0"/>
              <w:autoSpaceDN w:val="0"/>
              <w:adjustRightInd w:val="0"/>
              <w:spacing w:after="120"/>
              <w:jc w:val="both"/>
              <w:rPr>
                <w:color w:val="000000" w:themeColor="text1"/>
                <w:sz w:val="20"/>
                <w:szCs w:val="20"/>
                <w:lang w:eastAsia="ro-RO"/>
              </w:rPr>
            </w:pPr>
            <w:r w:rsidRPr="00FD6A2B">
              <w:rPr>
                <w:color w:val="000000" w:themeColor="text1"/>
                <w:sz w:val="20"/>
                <w:szCs w:val="20"/>
                <w:lang w:eastAsia="ro-RO"/>
              </w:rPr>
              <w:t xml:space="preserve">Se asigura </w:t>
            </w:r>
            <w:r w:rsidR="004B4DAA" w:rsidRPr="00FD6A2B">
              <w:rPr>
                <w:color w:val="000000" w:themeColor="text1"/>
                <w:sz w:val="20"/>
                <w:szCs w:val="20"/>
                <w:lang w:eastAsia="ro-RO"/>
              </w:rPr>
              <w:t>sumele necesare pentru finalizarea proiectelor finanțate în cadrul POIM, Axa Prioritară 5, Obiectivul specific 5.1 care au ca beneficiari Ministerul Mediului, Apelor și Pădurilor în parteneriat cu Administrația Națională Apele Române, care nu pot fi incluse în categoria proiectelor etapizate, nefuncționale sau nefinalizate, se suportă de la bugetul de stat de la o poziţie bugetară distinctă din cadrul Titlului X “Proiecte cu finanţare din fonduri externe nerambursabile aferente cadrului financiar 2014-2020”, cod 58.</w:t>
            </w:r>
            <w:r w:rsidR="00DA67C1" w:rsidRPr="00FD6A2B">
              <w:rPr>
                <w:color w:val="000000" w:themeColor="text1"/>
                <w:sz w:val="20"/>
                <w:szCs w:val="20"/>
                <w:lang w:eastAsia="ro-RO"/>
              </w:rPr>
              <w:t xml:space="preserve">Pentru monitorizarea procesului de închidere se prevede ca, după intrarea în vigoare a acestei </w:t>
            </w:r>
            <w:r w:rsidR="00F94D94" w:rsidRPr="00FD6A2B">
              <w:rPr>
                <w:color w:val="000000" w:themeColor="text1"/>
                <w:sz w:val="20"/>
                <w:szCs w:val="20"/>
                <w:lang w:eastAsia="ro-RO"/>
              </w:rPr>
              <w:t>ordonanțe de urgență</w:t>
            </w:r>
            <w:r w:rsidR="00DA67C1" w:rsidRPr="00FD6A2B">
              <w:rPr>
                <w:color w:val="000000" w:themeColor="text1"/>
                <w:sz w:val="20"/>
                <w:szCs w:val="20"/>
                <w:lang w:eastAsia="ro-RO"/>
              </w:rPr>
              <w:t xml:space="preserve">, MIPE să constituie un grup de lucru interinstituțional, format din conducerile structurilor/instituțiilor implicate, care să analizeze periodic stadiul realizării calendarului de închidere și să propună măsuri corective în scopul evitării blocajelor, recuperării eventualelor întârzieri. </w:t>
            </w:r>
          </w:p>
          <w:p w14:paraId="65DC401B" w14:textId="65058A5E" w:rsidR="00223491" w:rsidRPr="00FD6A2B" w:rsidRDefault="00223491" w:rsidP="002A0BDF">
            <w:pPr>
              <w:pStyle w:val="ListParagraph"/>
              <w:numPr>
                <w:ilvl w:val="1"/>
                <w:numId w:val="33"/>
              </w:numPr>
              <w:spacing w:after="120"/>
              <w:contextualSpacing w:val="0"/>
              <w:rPr>
                <w:rFonts w:ascii="Times New Roman" w:eastAsia="Times New Roman" w:hAnsi="Times New Roman" w:cs="Times New Roman"/>
                <w:b/>
                <w:color w:val="000000" w:themeColor="text1"/>
                <w:sz w:val="20"/>
                <w:szCs w:val="20"/>
                <w:lang w:eastAsia="ro-RO"/>
              </w:rPr>
            </w:pPr>
            <w:r w:rsidRPr="00FD6A2B">
              <w:rPr>
                <w:rFonts w:ascii="Times New Roman" w:eastAsia="Times New Roman" w:hAnsi="Times New Roman" w:cs="Times New Roman"/>
                <w:b/>
                <w:color w:val="000000" w:themeColor="text1"/>
                <w:sz w:val="20"/>
                <w:szCs w:val="20"/>
                <w:lang w:eastAsia="ro-RO"/>
              </w:rPr>
              <w:t>Alte informații</w:t>
            </w:r>
            <w:r w:rsidR="00940D0C" w:rsidRPr="00FD6A2B">
              <w:rPr>
                <w:rFonts w:ascii="Times New Roman" w:eastAsia="Times New Roman" w:hAnsi="Times New Roman" w:cs="Times New Roman"/>
                <w:b/>
                <w:color w:val="000000" w:themeColor="text1"/>
                <w:sz w:val="20"/>
                <w:szCs w:val="20"/>
                <w:lang w:eastAsia="ro-RO"/>
              </w:rPr>
              <w:t xml:space="preserve"> </w:t>
            </w:r>
          </w:p>
          <w:p w14:paraId="45862F79" w14:textId="37A08FE7" w:rsidR="00A902E1" w:rsidRPr="00FD6A2B" w:rsidRDefault="00DD5E00" w:rsidP="000E7C12">
            <w:pPr>
              <w:autoSpaceDE w:val="0"/>
              <w:autoSpaceDN w:val="0"/>
              <w:adjustRightInd w:val="0"/>
              <w:spacing w:after="120"/>
              <w:jc w:val="both"/>
              <w:rPr>
                <w:color w:val="000000" w:themeColor="text1"/>
                <w:sz w:val="20"/>
                <w:szCs w:val="20"/>
                <w:lang w:eastAsia="ro-RO"/>
              </w:rPr>
            </w:pPr>
            <w:r w:rsidRPr="00FD6A2B">
              <w:rPr>
                <w:bCs/>
                <w:color w:val="000000" w:themeColor="text1"/>
                <w:sz w:val="20"/>
                <w:szCs w:val="20"/>
                <w:lang w:eastAsia="ro-RO"/>
              </w:rPr>
              <w:t>Nu au fost identificate</w:t>
            </w:r>
          </w:p>
        </w:tc>
      </w:tr>
    </w:tbl>
    <w:p w14:paraId="7C52BD88" w14:textId="77777777" w:rsidR="00FA5616" w:rsidRPr="00FD6A2B" w:rsidRDefault="00FA5616" w:rsidP="00FA5616">
      <w:pPr>
        <w:rPr>
          <w:b/>
          <w:color w:val="000000" w:themeColor="text1"/>
          <w:sz w:val="20"/>
          <w:szCs w:val="20"/>
        </w:rPr>
      </w:pPr>
    </w:p>
    <w:p w14:paraId="4794020D" w14:textId="657E8876" w:rsidR="00223491" w:rsidRPr="00FD6A2B" w:rsidRDefault="003864F6" w:rsidP="001C737C">
      <w:pPr>
        <w:spacing w:after="120"/>
        <w:rPr>
          <w:b/>
          <w:color w:val="000000" w:themeColor="text1"/>
          <w:sz w:val="20"/>
          <w:szCs w:val="20"/>
        </w:rPr>
      </w:pPr>
      <w:r w:rsidRPr="00FD6A2B">
        <w:rPr>
          <w:b/>
          <w:color w:val="000000" w:themeColor="text1"/>
          <w:sz w:val="20"/>
          <w:szCs w:val="20"/>
        </w:rPr>
        <w:t>Secțiunea</w:t>
      </w:r>
      <w:r w:rsidR="00670C79" w:rsidRPr="00FD6A2B">
        <w:rPr>
          <w:b/>
          <w:color w:val="000000" w:themeColor="text1"/>
          <w:sz w:val="20"/>
          <w:szCs w:val="20"/>
        </w:rPr>
        <w:t xml:space="preserve"> a 3-a </w:t>
      </w:r>
    </w:p>
    <w:p w14:paraId="4E4A7A8E" w14:textId="2D218CC1" w:rsidR="00670C79" w:rsidRPr="00FD6A2B" w:rsidRDefault="00670C79" w:rsidP="002A0BDF">
      <w:pPr>
        <w:spacing w:after="120"/>
        <w:rPr>
          <w:b/>
          <w:color w:val="000000" w:themeColor="text1"/>
          <w:sz w:val="20"/>
          <w:szCs w:val="20"/>
        </w:rPr>
      </w:pPr>
      <w:r w:rsidRPr="00FD6A2B">
        <w:rPr>
          <w:b/>
          <w:color w:val="000000" w:themeColor="text1"/>
          <w:sz w:val="20"/>
          <w:szCs w:val="20"/>
        </w:rPr>
        <w:t xml:space="preserve">Impactul socioeconomic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FD6A2B" w:rsidRPr="00FD6A2B" w14:paraId="4F7B7B5A" w14:textId="77777777" w:rsidTr="00D81420">
        <w:tc>
          <w:tcPr>
            <w:tcW w:w="10533" w:type="dxa"/>
          </w:tcPr>
          <w:p w14:paraId="612A275C" w14:textId="4BB50FE7" w:rsidR="00F72189" w:rsidRPr="00FD6A2B" w:rsidRDefault="00F72189" w:rsidP="00146BB2">
            <w:pPr>
              <w:spacing w:after="60"/>
              <w:jc w:val="both"/>
              <w:rPr>
                <w:b/>
                <w:color w:val="000000" w:themeColor="text1"/>
                <w:sz w:val="20"/>
                <w:szCs w:val="20"/>
              </w:rPr>
            </w:pPr>
            <w:r w:rsidRPr="00FD6A2B">
              <w:rPr>
                <w:b/>
                <w:color w:val="000000" w:themeColor="text1"/>
                <w:sz w:val="20"/>
                <w:szCs w:val="20"/>
              </w:rPr>
              <w:t>3.1 Descrierea generală a beneficiilor și costurilor estimate ca urmare a intrării în vigoare a actului normativ</w:t>
            </w:r>
          </w:p>
          <w:p w14:paraId="7C3000C8" w14:textId="732865C5" w:rsidR="00DD5E00" w:rsidRPr="00FD6A2B" w:rsidRDefault="00DD5E00" w:rsidP="00146BB2">
            <w:pPr>
              <w:spacing w:after="60"/>
              <w:jc w:val="both"/>
              <w:rPr>
                <w:b/>
                <w:bCs/>
                <w:color w:val="000000" w:themeColor="text1"/>
                <w:sz w:val="20"/>
                <w:szCs w:val="20"/>
              </w:rPr>
            </w:pPr>
            <w:r w:rsidRPr="00FD6A2B">
              <w:rPr>
                <w:color w:val="000000" w:themeColor="text1"/>
                <w:sz w:val="20"/>
                <w:szCs w:val="20"/>
              </w:rPr>
              <w:lastRenderedPageBreak/>
              <w:t>Proiectul de act normativ nu se referă la acest subiect.</w:t>
            </w:r>
          </w:p>
          <w:p w14:paraId="0675353F" w14:textId="77777777" w:rsidR="00F72189" w:rsidRPr="00FD6A2B" w:rsidRDefault="00F72189" w:rsidP="00146BB2">
            <w:pPr>
              <w:spacing w:after="60"/>
              <w:jc w:val="both"/>
              <w:rPr>
                <w:b/>
                <w:color w:val="000000" w:themeColor="text1"/>
                <w:sz w:val="20"/>
                <w:szCs w:val="20"/>
              </w:rPr>
            </w:pPr>
            <w:r w:rsidRPr="00FD6A2B">
              <w:rPr>
                <w:b/>
                <w:color w:val="000000" w:themeColor="text1"/>
                <w:sz w:val="20"/>
                <w:szCs w:val="20"/>
              </w:rPr>
              <w:t>3.2 Impactul social</w:t>
            </w:r>
          </w:p>
          <w:p w14:paraId="49A1440B" w14:textId="77777777" w:rsidR="00DD5E00" w:rsidRPr="00FD6A2B" w:rsidRDefault="00DD5E00" w:rsidP="00146BB2">
            <w:pPr>
              <w:spacing w:after="60"/>
              <w:jc w:val="both"/>
              <w:rPr>
                <w:b/>
                <w:bCs/>
                <w:color w:val="000000" w:themeColor="text1"/>
                <w:sz w:val="20"/>
                <w:szCs w:val="20"/>
              </w:rPr>
            </w:pPr>
            <w:r w:rsidRPr="00FD6A2B">
              <w:rPr>
                <w:color w:val="000000" w:themeColor="text1"/>
                <w:sz w:val="20"/>
                <w:szCs w:val="20"/>
              </w:rPr>
              <w:t>Proiectul de act normativ nu se referă la acest subiect.</w:t>
            </w:r>
          </w:p>
          <w:p w14:paraId="039A336E" w14:textId="2F0C5538" w:rsidR="00A902E1" w:rsidRPr="00FD6A2B" w:rsidRDefault="00F72189" w:rsidP="00146BB2">
            <w:pPr>
              <w:pStyle w:val="ListParagraph"/>
              <w:numPr>
                <w:ilvl w:val="1"/>
                <w:numId w:val="25"/>
              </w:numPr>
              <w:tabs>
                <w:tab w:val="left" w:pos="741"/>
              </w:tabs>
              <w:spacing w:after="60"/>
              <w:contextualSpacing w:val="0"/>
              <w:jc w:val="both"/>
              <w:rPr>
                <w:rFonts w:ascii="Times New Roman" w:eastAsia="Times New Roman" w:hAnsi="Times New Roman" w:cs="Times New Roman"/>
                <w:b/>
                <w:color w:val="000000" w:themeColor="text1"/>
                <w:sz w:val="20"/>
                <w:szCs w:val="20"/>
              </w:rPr>
            </w:pPr>
            <w:r w:rsidRPr="00FD6A2B">
              <w:rPr>
                <w:rFonts w:ascii="Times New Roman" w:eastAsia="Times New Roman" w:hAnsi="Times New Roman" w:cs="Times New Roman"/>
                <w:b/>
                <w:color w:val="000000" w:themeColor="text1"/>
                <w:sz w:val="20"/>
                <w:szCs w:val="20"/>
              </w:rPr>
              <w:t xml:space="preserve">Impactul asupra drepturilor și libertăților fundamentale ale omului </w:t>
            </w:r>
          </w:p>
          <w:p w14:paraId="443BDD5B" w14:textId="77777777" w:rsidR="00DD5E00" w:rsidRPr="00FD6A2B" w:rsidRDefault="00DD5E00" w:rsidP="00146BB2">
            <w:pPr>
              <w:spacing w:after="60"/>
              <w:jc w:val="both"/>
              <w:rPr>
                <w:b/>
                <w:bCs/>
                <w:color w:val="000000" w:themeColor="text1"/>
                <w:sz w:val="20"/>
                <w:szCs w:val="20"/>
              </w:rPr>
            </w:pPr>
            <w:r w:rsidRPr="00FD6A2B">
              <w:rPr>
                <w:color w:val="000000" w:themeColor="text1"/>
                <w:sz w:val="20"/>
                <w:szCs w:val="20"/>
              </w:rPr>
              <w:t>Proiectul de act normativ nu se referă la acest subiect.</w:t>
            </w:r>
          </w:p>
          <w:p w14:paraId="139B6ECC" w14:textId="0D1E6116" w:rsidR="00FB45DC" w:rsidRPr="00FD6A2B" w:rsidRDefault="00FD3526" w:rsidP="00146BB2">
            <w:pPr>
              <w:pStyle w:val="ListParagraph"/>
              <w:numPr>
                <w:ilvl w:val="1"/>
                <w:numId w:val="25"/>
              </w:numPr>
              <w:spacing w:after="60"/>
              <w:contextualSpacing w:val="0"/>
              <w:jc w:val="both"/>
              <w:rPr>
                <w:rFonts w:ascii="Times New Roman" w:hAnsi="Times New Roman" w:cs="Times New Roman"/>
                <w:b/>
                <w:color w:val="000000" w:themeColor="text1"/>
                <w:sz w:val="20"/>
                <w:szCs w:val="20"/>
              </w:rPr>
            </w:pPr>
            <w:r w:rsidRPr="00FD6A2B">
              <w:rPr>
                <w:rFonts w:ascii="Times New Roman" w:hAnsi="Times New Roman" w:cs="Times New Roman"/>
                <w:b/>
                <w:color w:val="000000" w:themeColor="text1"/>
                <w:sz w:val="20"/>
                <w:szCs w:val="20"/>
              </w:rPr>
              <w:t>Impactul macroeconomic</w:t>
            </w:r>
          </w:p>
          <w:p w14:paraId="5A12973F" w14:textId="77777777" w:rsidR="00DA67C1" w:rsidRPr="00FD6A2B" w:rsidRDefault="00DA67C1" w:rsidP="00DA67C1">
            <w:pPr>
              <w:spacing w:after="60"/>
              <w:jc w:val="both"/>
              <w:rPr>
                <w:b/>
                <w:bCs/>
                <w:color w:val="000000" w:themeColor="text1"/>
                <w:sz w:val="20"/>
                <w:szCs w:val="20"/>
              </w:rPr>
            </w:pPr>
            <w:r w:rsidRPr="00FD6A2B">
              <w:rPr>
                <w:color w:val="000000" w:themeColor="text1"/>
                <w:sz w:val="20"/>
                <w:szCs w:val="20"/>
              </w:rPr>
              <w:t>Proiectul de act normativ nu se referă la acest subiect.</w:t>
            </w:r>
          </w:p>
          <w:p w14:paraId="5C808D9F" w14:textId="508B8614" w:rsidR="004933CA" w:rsidRPr="00FD6A2B" w:rsidRDefault="00736249" w:rsidP="00146BB2">
            <w:pPr>
              <w:spacing w:after="60"/>
              <w:jc w:val="both"/>
              <w:rPr>
                <w:b/>
                <w:color w:val="000000" w:themeColor="text1"/>
                <w:sz w:val="20"/>
                <w:szCs w:val="20"/>
              </w:rPr>
            </w:pPr>
            <w:r w:rsidRPr="00FD6A2B">
              <w:rPr>
                <w:b/>
                <w:color w:val="000000" w:themeColor="text1"/>
                <w:sz w:val="20"/>
                <w:szCs w:val="20"/>
              </w:rPr>
              <w:t>3.4.</w:t>
            </w:r>
            <w:r w:rsidR="0053734B" w:rsidRPr="00FD6A2B">
              <w:rPr>
                <w:b/>
                <w:color w:val="000000" w:themeColor="text1"/>
                <w:sz w:val="20"/>
                <w:szCs w:val="20"/>
              </w:rPr>
              <w:t>1</w:t>
            </w:r>
            <w:r w:rsidRPr="00FD6A2B">
              <w:rPr>
                <w:b/>
                <w:color w:val="000000" w:themeColor="text1"/>
                <w:sz w:val="20"/>
                <w:szCs w:val="20"/>
              </w:rPr>
              <w:t xml:space="preserve"> Impactul asupra mediului concurențial si domeniului ajutoarelor de stat</w:t>
            </w:r>
          </w:p>
          <w:p w14:paraId="6B9D6CDC" w14:textId="62F4C3B4" w:rsidR="00742A0B" w:rsidRPr="00FD6A2B" w:rsidRDefault="00DA67C1" w:rsidP="00DA67C1">
            <w:pPr>
              <w:spacing w:after="60"/>
              <w:jc w:val="both"/>
              <w:rPr>
                <w:color w:val="000000" w:themeColor="text1"/>
                <w:sz w:val="20"/>
                <w:szCs w:val="20"/>
              </w:rPr>
            </w:pPr>
            <w:r w:rsidRPr="00FD6A2B">
              <w:rPr>
                <w:color w:val="000000" w:themeColor="text1"/>
                <w:sz w:val="20"/>
                <w:szCs w:val="20"/>
              </w:rPr>
              <w:t>Pentru proiectele/operațiunile etapizate pentru care există contracte de finanțare încheiate cu respectarea prevederilor naționale și europene în baza unor apeluri de proiecte cu scheme de ajutor de stat valabile la data încheierii contractelor de finanțare etapizarea proiectelor/operațiunilor are loc prin încheierea unor acte adiționale la contractele de finanțare existente prin care autoritățile de management ale programelor regionale 2021-2027 se subrogă în drepturile și obligațiile autorității de management a programului operațional regional 2014-2020 pentru restul de implementat al contractului de finanțare cu precizarea că actele adiționale de subrogare în drepturi și obligații se încheie până la data de 31 decembrie 2023 și nu pot conține clauze care să conducă la modificarea condițiilor de acordare a ajutorului de stat valabile la data încheierii contractului de finanțare.</w:t>
            </w:r>
          </w:p>
          <w:p w14:paraId="5D645A5F" w14:textId="17F56CCF" w:rsidR="00F72189" w:rsidRPr="00FD6A2B" w:rsidRDefault="00F72189" w:rsidP="00146BB2">
            <w:pPr>
              <w:spacing w:after="60"/>
              <w:jc w:val="both"/>
              <w:rPr>
                <w:b/>
                <w:color w:val="000000" w:themeColor="text1"/>
                <w:sz w:val="20"/>
                <w:szCs w:val="20"/>
              </w:rPr>
            </w:pPr>
            <w:r w:rsidRPr="00FD6A2B">
              <w:rPr>
                <w:b/>
                <w:color w:val="000000" w:themeColor="text1"/>
                <w:sz w:val="20"/>
                <w:szCs w:val="20"/>
              </w:rPr>
              <w:t>3.</w:t>
            </w:r>
            <w:r w:rsidR="00FD3526" w:rsidRPr="00FD6A2B">
              <w:rPr>
                <w:b/>
                <w:color w:val="000000" w:themeColor="text1"/>
                <w:sz w:val="20"/>
                <w:szCs w:val="20"/>
              </w:rPr>
              <w:t>5</w:t>
            </w:r>
            <w:r w:rsidRPr="00FD6A2B">
              <w:rPr>
                <w:b/>
                <w:color w:val="000000" w:themeColor="text1"/>
                <w:sz w:val="20"/>
                <w:szCs w:val="20"/>
              </w:rPr>
              <w:t>. Impactul asupra mediului de afaceri</w:t>
            </w:r>
          </w:p>
          <w:p w14:paraId="57800C52" w14:textId="5AC18116" w:rsidR="00EC43E7" w:rsidRPr="00FD6A2B" w:rsidRDefault="00EC43E7" w:rsidP="00146BB2">
            <w:pPr>
              <w:spacing w:after="60"/>
              <w:jc w:val="both"/>
              <w:rPr>
                <w:noProof/>
                <w:color w:val="000000" w:themeColor="text1"/>
                <w:sz w:val="20"/>
                <w:szCs w:val="20"/>
              </w:rPr>
            </w:pPr>
            <w:r w:rsidRPr="00FD6A2B">
              <w:rPr>
                <w:noProof/>
                <w:color w:val="000000" w:themeColor="text1"/>
                <w:sz w:val="20"/>
                <w:szCs w:val="20"/>
              </w:rPr>
              <w:t xml:space="preserve">Impactul asupra mediului de afaceri va fi pozitiv prin creșterea </w:t>
            </w:r>
            <w:r w:rsidR="00DA67C1" w:rsidRPr="00FD6A2B">
              <w:rPr>
                <w:noProof/>
                <w:color w:val="000000" w:themeColor="text1"/>
                <w:sz w:val="20"/>
                <w:szCs w:val="20"/>
              </w:rPr>
              <w:t>asigurarea continuității implementării portofoliului de proiecte cu finanțare europeană</w:t>
            </w:r>
            <w:r w:rsidRPr="00FD6A2B">
              <w:rPr>
                <w:noProof/>
                <w:color w:val="000000" w:themeColor="text1"/>
                <w:sz w:val="20"/>
                <w:szCs w:val="20"/>
              </w:rPr>
              <w:t>.</w:t>
            </w:r>
          </w:p>
          <w:p w14:paraId="0371A2A3" w14:textId="078232CB" w:rsidR="00DD5E00" w:rsidRPr="00FD6A2B" w:rsidRDefault="00FD3526" w:rsidP="00146BB2">
            <w:pPr>
              <w:spacing w:after="60"/>
              <w:jc w:val="both"/>
              <w:rPr>
                <w:b/>
                <w:color w:val="000000" w:themeColor="text1"/>
                <w:sz w:val="20"/>
                <w:szCs w:val="20"/>
              </w:rPr>
            </w:pPr>
            <w:r w:rsidRPr="00FD6A2B">
              <w:rPr>
                <w:b/>
                <w:color w:val="000000" w:themeColor="text1"/>
                <w:sz w:val="20"/>
                <w:szCs w:val="20"/>
              </w:rPr>
              <w:t>3.6 Impactul asupra mediului înconjurător</w:t>
            </w:r>
          </w:p>
          <w:p w14:paraId="41ACF09B" w14:textId="63102919" w:rsidR="00031D8D" w:rsidRPr="00FD6A2B" w:rsidRDefault="00DD5E00" w:rsidP="00146BB2">
            <w:pPr>
              <w:spacing w:after="60"/>
              <w:jc w:val="both"/>
              <w:rPr>
                <w:color w:val="000000" w:themeColor="text1"/>
                <w:sz w:val="20"/>
                <w:szCs w:val="20"/>
              </w:rPr>
            </w:pPr>
            <w:r w:rsidRPr="00FD6A2B">
              <w:rPr>
                <w:color w:val="000000" w:themeColor="text1"/>
                <w:sz w:val="20"/>
                <w:szCs w:val="20"/>
              </w:rPr>
              <w:t>Proiectul de act normativ nu se referă la acest subiect.</w:t>
            </w:r>
          </w:p>
          <w:p w14:paraId="55CFDA7E" w14:textId="3945FB0B" w:rsidR="00FD3526" w:rsidRPr="00FD6A2B" w:rsidRDefault="00FD3526" w:rsidP="00146BB2">
            <w:pPr>
              <w:spacing w:after="60"/>
              <w:jc w:val="both"/>
              <w:rPr>
                <w:b/>
                <w:color w:val="000000" w:themeColor="text1"/>
                <w:sz w:val="20"/>
                <w:szCs w:val="20"/>
              </w:rPr>
            </w:pPr>
            <w:r w:rsidRPr="00FD6A2B">
              <w:rPr>
                <w:b/>
                <w:color w:val="000000" w:themeColor="text1"/>
                <w:sz w:val="20"/>
                <w:szCs w:val="20"/>
              </w:rPr>
              <w:t>3.7. Evaluarea costurilor și beneficiilor din perspectiva inovării și digitalizării</w:t>
            </w:r>
            <w:r w:rsidR="00A902E1" w:rsidRPr="00FD6A2B">
              <w:rPr>
                <w:b/>
                <w:color w:val="000000" w:themeColor="text1"/>
                <w:sz w:val="20"/>
                <w:szCs w:val="20"/>
              </w:rPr>
              <w:t>-</w:t>
            </w:r>
          </w:p>
          <w:p w14:paraId="0DD2A516" w14:textId="622E10DF" w:rsidR="0044051D" w:rsidRPr="00FD6A2B" w:rsidRDefault="0044051D" w:rsidP="00146BB2">
            <w:pPr>
              <w:spacing w:after="60"/>
              <w:jc w:val="both"/>
              <w:rPr>
                <w:bCs/>
                <w:color w:val="000000" w:themeColor="text1"/>
                <w:sz w:val="20"/>
                <w:szCs w:val="20"/>
              </w:rPr>
            </w:pPr>
            <w:r w:rsidRPr="00FD6A2B">
              <w:rPr>
                <w:bCs/>
                <w:color w:val="000000" w:themeColor="text1"/>
                <w:sz w:val="20"/>
                <w:szCs w:val="20"/>
              </w:rPr>
              <w:t xml:space="preserve">Actul normativ va </w:t>
            </w:r>
            <w:r w:rsidR="000676D6" w:rsidRPr="00FD6A2B">
              <w:rPr>
                <w:bCs/>
                <w:color w:val="000000" w:themeColor="text1"/>
                <w:sz w:val="20"/>
                <w:szCs w:val="20"/>
              </w:rPr>
              <w:t xml:space="preserve">continua să </w:t>
            </w:r>
            <w:r w:rsidRPr="00FD6A2B">
              <w:rPr>
                <w:bCs/>
                <w:color w:val="000000" w:themeColor="text1"/>
                <w:sz w:val="20"/>
                <w:szCs w:val="20"/>
              </w:rPr>
              <w:t>încuraj</w:t>
            </w:r>
            <w:r w:rsidR="000676D6" w:rsidRPr="00FD6A2B">
              <w:rPr>
                <w:bCs/>
                <w:color w:val="000000" w:themeColor="text1"/>
                <w:sz w:val="20"/>
                <w:szCs w:val="20"/>
              </w:rPr>
              <w:t>eze</w:t>
            </w:r>
            <w:r w:rsidRPr="00FD6A2B">
              <w:rPr>
                <w:bCs/>
                <w:color w:val="000000" w:themeColor="text1"/>
                <w:sz w:val="20"/>
                <w:szCs w:val="20"/>
              </w:rPr>
              <w:t xml:space="preserve"> activitățile de cercetare și inovare, având în vedere sprijinul financiar acordat prin intermediul fondurilor externe nerambursabile pentru a susține dezvoltarea infrastructurii necesare mediului de afaceri dar și pentru achiziționarea de echipamente și dotări specifice activităților</w:t>
            </w:r>
            <w:r w:rsidR="000676D6" w:rsidRPr="00FD6A2B">
              <w:rPr>
                <w:bCs/>
                <w:color w:val="000000" w:themeColor="text1"/>
                <w:sz w:val="20"/>
                <w:szCs w:val="20"/>
              </w:rPr>
              <w:t xml:space="preserve"> din portofoliul de proiecte</w:t>
            </w:r>
            <w:r w:rsidRPr="00FD6A2B">
              <w:rPr>
                <w:bCs/>
                <w:color w:val="000000" w:themeColor="text1"/>
                <w:sz w:val="20"/>
                <w:szCs w:val="20"/>
              </w:rPr>
              <w:t xml:space="preserve">. </w:t>
            </w:r>
          </w:p>
          <w:p w14:paraId="3CFEFC6B" w14:textId="5E136423" w:rsidR="00FD3526" w:rsidRPr="00FD6A2B" w:rsidRDefault="00FD3526" w:rsidP="00146BB2">
            <w:pPr>
              <w:spacing w:after="60"/>
              <w:jc w:val="both"/>
              <w:rPr>
                <w:b/>
                <w:color w:val="000000" w:themeColor="text1"/>
                <w:sz w:val="20"/>
                <w:szCs w:val="20"/>
              </w:rPr>
            </w:pPr>
            <w:r w:rsidRPr="00FD6A2B">
              <w:rPr>
                <w:b/>
                <w:color w:val="000000" w:themeColor="text1"/>
                <w:sz w:val="20"/>
                <w:szCs w:val="20"/>
              </w:rPr>
              <w:t>3.8 Evaluarea costurilor și beneficiilor din perspectiva dezvoltării durabile</w:t>
            </w:r>
          </w:p>
          <w:p w14:paraId="6D361443" w14:textId="593BF5AF" w:rsidR="00DD5E00" w:rsidRPr="00FD6A2B" w:rsidRDefault="00DD5E00" w:rsidP="00146BB2">
            <w:pPr>
              <w:spacing w:after="60"/>
              <w:jc w:val="both"/>
              <w:rPr>
                <w:b/>
                <w:bCs/>
                <w:color w:val="000000" w:themeColor="text1"/>
                <w:sz w:val="20"/>
                <w:szCs w:val="20"/>
              </w:rPr>
            </w:pPr>
            <w:r w:rsidRPr="00FD6A2B">
              <w:rPr>
                <w:color w:val="000000" w:themeColor="text1"/>
                <w:sz w:val="20"/>
                <w:szCs w:val="20"/>
              </w:rPr>
              <w:t>Proiectul de act normativ nu se referă la acest subiect.</w:t>
            </w:r>
          </w:p>
          <w:p w14:paraId="1A104825" w14:textId="43D6F344" w:rsidR="00FD3526" w:rsidRPr="00FD6A2B" w:rsidRDefault="00FD3526" w:rsidP="00146BB2">
            <w:pPr>
              <w:spacing w:after="60"/>
              <w:jc w:val="both"/>
              <w:rPr>
                <w:b/>
                <w:color w:val="000000" w:themeColor="text1"/>
                <w:sz w:val="20"/>
                <w:szCs w:val="20"/>
              </w:rPr>
            </w:pPr>
            <w:r w:rsidRPr="00FD6A2B">
              <w:rPr>
                <w:b/>
                <w:color w:val="000000" w:themeColor="text1"/>
                <w:sz w:val="20"/>
                <w:szCs w:val="20"/>
              </w:rPr>
              <w:t>3.9. Alte informații</w:t>
            </w:r>
          </w:p>
          <w:p w14:paraId="041FB550" w14:textId="29576FC7" w:rsidR="00A902E1" w:rsidRPr="00FD6A2B" w:rsidRDefault="00B73EBD" w:rsidP="00146BB2">
            <w:pPr>
              <w:tabs>
                <w:tab w:val="left" w:pos="741"/>
              </w:tabs>
              <w:spacing w:after="60"/>
              <w:jc w:val="both"/>
              <w:rPr>
                <w:b/>
                <w:color w:val="000000" w:themeColor="text1"/>
                <w:sz w:val="20"/>
                <w:szCs w:val="20"/>
              </w:rPr>
            </w:pPr>
            <w:r w:rsidRPr="00FD6A2B">
              <w:rPr>
                <w:color w:val="000000" w:themeColor="text1"/>
                <w:sz w:val="20"/>
                <w:szCs w:val="20"/>
              </w:rPr>
              <w:t>Nu au fost identificate</w:t>
            </w:r>
            <w:r w:rsidR="0090626B" w:rsidRPr="00FD6A2B">
              <w:rPr>
                <w:color w:val="000000" w:themeColor="text1"/>
                <w:sz w:val="20"/>
                <w:szCs w:val="20"/>
              </w:rPr>
              <w:t>.</w:t>
            </w:r>
          </w:p>
        </w:tc>
      </w:tr>
    </w:tbl>
    <w:p w14:paraId="1F3D2715" w14:textId="77777777" w:rsidR="00146BB2" w:rsidRPr="00FD6A2B" w:rsidRDefault="00146BB2" w:rsidP="00146BB2">
      <w:pPr>
        <w:jc w:val="both"/>
        <w:rPr>
          <w:b/>
          <w:color w:val="000000" w:themeColor="text1"/>
          <w:sz w:val="20"/>
          <w:szCs w:val="20"/>
        </w:rPr>
      </w:pPr>
    </w:p>
    <w:p w14:paraId="20A2BC5C" w14:textId="217EF9AD" w:rsidR="005A13C5" w:rsidRPr="00FD6A2B" w:rsidRDefault="00670C79" w:rsidP="00A21824">
      <w:pPr>
        <w:spacing w:after="120"/>
        <w:jc w:val="both"/>
        <w:rPr>
          <w:b/>
          <w:color w:val="000000" w:themeColor="text1"/>
          <w:sz w:val="20"/>
          <w:szCs w:val="20"/>
        </w:rPr>
      </w:pPr>
      <w:r w:rsidRPr="00FD6A2B">
        <w:rPr>
          <w:b/>
          <w:color w:val="000000" w:themeColor="text1"/>
          <w:sz w:val="20"/>
          <w:szCs w:val="20"/>
        </w:rPr>
        <w:t xml:space="preserve">Secţiunea a 4-a </w:t>
      </w:r>
    </w:p>
    <w:p w14:paraId="34AED0C5" w14:textId="5ABB9584" w:rsidR="00670C79" w:rsidRPr="00FD6A2B" w:rsidRDefault="00670C79" w:rsidP="003C6909">
      <w:pPr>
        <w:spacing w:after="120"/>
        <w:jc w:val="both"/>
        <w:rPr>
          <w:b/>
          <w:color w:val="000000" w:themeColor="text1"/>
          <w:sz w:val="20"/>
          <w:szCs w:val="20"/>
        </w:rPr>
      </w:pPr>
      <w:r w:rsidRPr="00FD6A2B">
        <w:rPr>
          <w:b/>
          <w:color w:val="000000" w:themeColor="text1"/>
          <w:sz w:val="20"/>
          <w:szCs w:val="20"/>
        </w:rPr>
        <w:t xml:space="preserve">Impactul financiar asupra bugetului </w:t>
      </w:r>
      <w:r w:rsidR="0064777F" w:rsidRPr="00FD6A2B">
        <w:rPr>
          <w:b/>
          <w:color w:val="000000" w:themeColor="text1"/>
          <w:sz w:val="20"/>
          <w:szCs w:val="20"/>
        </w:rPr>
        <w:t>general</w:t>
      </w:r>
      <w:r w:rsidRPr="00FD6A2B">
        <w:rPr>
          <w:b/>
          <w:color w:val="000000" w:themeColor="text1"/>
          <w:sz w:val="20"/>
          <w:szCs w:val="20"/>
        </w:rPr>
        <w:t xml:space="preserve"> consolidat atât pe termen scurt, pentru</w:t>
      </w:r>
      <w:r w:rsidR="00DB71DB" w:rsidRPr="00FD6A2B">
        <w:rPr>
          <w:b/>
          <w:color w:val="000000" w:themeColor="text1"/>
          <w:sz w:val="20"/>
          <w:szCs w:val="20"/>
        </w:rPr>
        <w:t xml:space="preserve"> </w:t>
      </w:r>
      <w:r w:rsidRPr="00FD6A2B">
        <w:rPr>
          <w:b/>
          <w:color w:val="000000" w:themeColor="text1"/>
          <w:sz w:val="20"/>
          <w:szCs w:val="20"/>
        </w:rPr>
        <w:t>anul curent, cât şi pe termen lung (pe 5 ani)</w:t>
      </w:r>
      <w:r w:rsidR="003034B1" w:rsidRPr="00FD6A2B">
        <w:rPr>
          <w:b/>
          <w:color w:val="000000" w:themeColor="text1"/>
          <w:sz w:val="20"/>
          <w:szCs w:val="20"/>
        </w:rPr>
        <w:t>, inclusiv informații cu privire la cheltuieli și venituri</w:t>
      </w:r>
      <w:r w:rsidR="0064777F" w:rsidRPr="00FD6A2B">
        <w:rPr>
          <w:b/>
          <w:color w:val="000000" w:themeColor="text1"/>
          <w:sz w:val="20"/>
          <w:szCs w:val="20"/>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3"/>
        <w:gridCol w:w="666"/>
        <w:gridCol w:w="716"/>
        <w:gridCol w:w="1449"/>
        <w:gridCol w:w="1350"/>
        <w:gridCol w:w="1122"/>
        <w:gridCol w:w="1437"/>
      </w:tblGrid>
      <w:tr w:rsidR="00FD6A2B" w:rsidRPr="00B026CE" w14:paraId="0C843357" w14:textId="77777777" w:rsidTr="00D81420">
        <w:tc>
          <w:tcPr>
            <w:tcW w:w="10533" w:type="dxa"/>
            <w:gridSpan w:val="7"/>
          </w:tcPr>
          <w:p w14:paraId="33061C9B" w14:textId="7824EB12" w:rsidR="009A76F9" w:rsidRPr="00B026CE" w:rsidRDefault="009A76F9" w:rsidP="00146BB2">
            <w:pPr>
              <w:pStyle w:val="ListParagraph"/>
              <w:numPr>
                <w:ilvl w:val="0"/>
                <w:numId w:val="13"/>
              </w:numPr>
              <w:spacing w:after="60"/>
              <w:contextualSpacing w:val="0"/>
              <w:jc w:val="right"/>
              <w:rPr>
                <w:rFonts w:ascii="Times New Roman" w:hAnsi="Times New Roman" w:cs="Times New Roman"/>
                <w:color w:val="000000" w:themeColor="text1"/>
                <w:sz w:val="18"/>
                <w:szCs w:val="20"/>
              </w:rPr>
            </w:pPr>
            <w:r w:rsidRPr="00B026CE">
              <w:rPr>
                <w:rFonts w:ascii="Times New Roman" w:hAnsi="Times New Roman" w:cs="Times New Roman"/>
                <w:color w:val="000000" w:themeColor="text1"/>
                <w:sz w:val="18"/>
                <w:szCs w:val="20"/>
              </w:rPr>
              <w:t>În mii lei (RON)</w:t>
            </w:r>
          </w:p>
        </w:tc>
      </w:tr>
      <w:tr w:rsidR="00FD6A2B" w:rsidRPr="00B026CE" w14:paraId="57D824B3" w14:textId="77777777" w:rsidTr="00B026CE">
        <w:tc>
          <w:tcPr>
            <w:tcW w:w="3828" w:type="dxa"/>
          </w:tcPr>
          <w:p w14:paraId="318BEE35" w14:textId="77777777" w:rsidR="00670C79" w:rsidRPr="00B026CE" w:rsidRDefault="00670C79" w:rsidP="00146BB2">
            <w:pPr>
              <w:pStyle w:val="Heading2"/>
              <w:spacing w:after="60"/>
              <w:rPr>
                <w:color w:val="000000" w:themeColor="text1"/>
                <w:sz w:val="18"/>
                <w:szCs w:val="20"/>
              </w:rPr>
            </w:pPr>
            <w:r w:rsidRPr="00B026CE">
              <w:rPr>
                <w:color w:val="000000" w:themeColor="text1"/>
                <w:sz w:val="18"/>
                <w:szCs w:val="20"/>
              </w:rPr>
              <w:t>Indicatori</w:t>
            </w:r>
          </w:p>
        </w:tc>
        <w:tc>
          <w:tcPr>
            <w:tcW w:w="567" w:type="dxa"/>
          </w:tcPr>
          <w:p w14:paraId="603E3C85" w14:textId="129C77CD" w:rsidR="00670C79" w:rsidRPr="00B026CE" w:rsidRDefault="00670C79" w:rsidP="00146BB2">
            <w:pPr>
              <w:spacing w:after="60"/>
              <w:jc w:val="center"/>
              <w:rPr>
                <w:color w:val="000000" w:themeColor="text1"/>
                <w:sz w:val="18"/>
                <w:szCs w:val="20"/>
              </w:rPr>
            </w:pPr>
            <w:r w:rsidRPr="00B026CE">
              <w:rPr>
                <w:color w:val="000000" w:themeColor="text1"/>
                <w:sz w:val="18"/>
                <w:szCs w:val="20"/>
              </w:rPr>
              <w:t>An</w:t>
            </w:r>
            <w:r w:rsidR="009A76F9" w:rsidRPr="00B026CE">
              <w:rPr>
                <w:color w:val="000000" w:themeColor="text1"/>
                <w:sz w:val="18"/>
                <w:szCs w:val="20"/>
              </w:rPr>
              <w:t>ul</w:t>
            </w:r>
            <w:r w:rsidRPr="00B026CE">
              <w:rPr>
                <w:color w:val="000000" w:themeColor="text1"/>
                <w:sz w:val="18"/>
                <w:szCs w:val="20"/>
              </w:rPr>
              <w:t xml:space="preserve"> curent</w:t>
            </w:r>
          </w:p>
        </w:tc>
        <w:tc>
          <w:tcPr>
            <w:tcW w:w="4690" w:type="dxa"/>
            <w:gridSpan w:val="4"/>
          </w:tcPr>
          <w:p w14:paraId="4EA4AF47" w14:textId="77777777" w:rsidR="00670C79" w:rsidRPr="00B026CE" w:rsidRDefault="00670C79" w:rsidP="00146BB2">
            <w:pPr>
              <w:spacing w:after="60"/>
              <w:jc w:val="center"/>
              <w:rPr>
                <w:color w:val="000000" w:themeColor="text1"/>
                <w:sz w:val="18"/>
                <w:szCs w:val="20"/>
              </w:rPr>
            </w:pPr>
            <w:r w:rsidRPr="00B026CE">
              <w:rPr>
                <w:color w:val="000000" w:themeColor="text1"/>
                <w:sz w:val="18"/>
                <w:szCs w:val="20"/>
              </w:rPr>
              <w:t>Următorii 4 ani</w:t>
            </w:r>
          </w:p>
        </w:tc>
        <w:tc>
          <w:tcPr>
            <w:tcW w:w="1448" w:type="dxa"/>
          </w:tcPr>
          <w:p w14:paraId="1EE52564" w14:textId="74A4CFA0" w:rsidR="00670C79" w:rsidRPr="00B026CE" w:rsidRDefault="00670C79" w:rsidP="00146BB2">
            <w:pPr>
              <w:spacing w:after="60"/>
              <w:jc w:val="center"/>
              <w:rPr>
                <w:color w:val="000000" w:themeColor="text1"/>
                <w:sz w:val="18"/>
                <w:szCs w:val="20"/>
              </w:rPr>
            </w:pPr>
            <w:r w:rsidRPr="00B026CE">
              <w:rPr>
                <w:color w:val="000000" w:themeColor="text1"/>
                <w:sz w:val="18"/>
                <w:szCs w:val="20"/>
              </w:rPr>
              <w:t xml:space="preserve">Media </w:t>
            </w:r>
            <w:r w:rsidR="009A76F9" w:rsidRPr="00B026CE">
              <w:rPr>
                <w:color w:val="000000" w:themeColor="text1"/>
                <w:sz w:val="18"/>
                <w:szCs w:val="20"/>
              </w:rPr>
              <w:t>pe</w:t>
            </w:r>
            <w:r w:rsidRPr="00B026CE">
              <w:rPr>
                <w:color w:val="000000" w:themeColor="text1"/>
                <w:sz w:val="18"/>
                <w:szCs w:val="20"/>
              </w:rPr>
              <w:t xml:space="preserve"> 5 ani</w:t>
            </w:r>
          </w:p>
        </w:tc>
      </w:tr>
      <w:tr w:rsidR="00FD6A2B" w:rsidRPr="00B026CE" w14:paraId="31AEB740" w14:textId="77777777" w:rsidTr="00B026CE">
        <w:tc>
          <w:tcPr>
            <w:tcW w:w="3828" w:type="dxa"/>
          </w:tcPr>
          <w:p w14:paraId="1A04C9C9" w14:textId="77777777" w:rsidR="00670C79" w:rsidRPr="00B026CE" w:rsidRDefault="00670C79" w:rsidP="00146BB2">
            <w:pPr>
              <w:spacing w:after="60"/>
              <w:jc w:val="center"/>
              <w:rPr>
                <w:color w:val="000000" w:themeColor="text1"/>
                <w:sz w:val="18"/>
                <w:szCs w:val="20"/>
              </w:rPr>
            </w:pPr>
            <w:r w:rsidRPr="00B026CE">
              <w:rPr>
                <w:color w:val="000000" w:themeColor="text1"/>
                <w:sz w:val="18"/>
                <w:szCs w:val="20"/>
              </w:rPr>
              <w:t>1</w:t>
            </w:r>
          </w:p>
        </w:tc>
        <w:tc>
          <w:tcPr>
            <w:tcW w:w="567" w:type="dxa"/>
            <w:shd w:val="clear" w:color="auto" w:fill="auto"/>
            <w:vAlign w:val="center"/>
          </w:tcPr>
          <w:p w14:paraId="44BDE6EE" w14:textId="4215C2D5" w:rsidR="00670C79" w:rsidRPr="00B026CE" w:rsidRDefault="00670C79" w:rsidP="00146BB2">
            <w:pPr>
              <w:spacing w:after="60"/>
              <w:jc w:val="center"/>
              <w:rPr>
                <w:color w:val="000000" w:themeColor="text1"/>
                <w:sz w:val="18"/>
                <w:szCs w:val="20"/>
              </w:rPr>
            </w:pPr>
          </w:p>
        </w:tc>
        <w:tc>
          <w:tcPr>
            <w:tcW w:w="723" w:type="dxa"/>
            <w:shd w:val="clear" w:color="auto" w:fill="auto"/>
            <w:vAlign w:val="center"/>
          </w:tcPr>
          <w:p w14:paraId="44511A2B" w14:textId="57E02DB0" w:rsidR="00670C79" w:rsidRPr="00B026CE" w:rsidRDefault="00670C79" w:rsidP="00146BB2">
            <w:pPr>
              <w:spacing w:after="60"/>
              <w:jc w:val="center"/>
              <w:rPr>
                <w:color w:val="000000" w:themeColor="text1"/>
                <w:sz w:val="18"/>
                <w:szCs w:val="20"/>
              </w:rPr>
            </w:pPr>
          </w:p>
        </w:tc>
        <w:tc>
          <w:tcPr>
            <w:tcW w:w="1466" w:type="dxa"/>
            <w:shd w:val="clear" w:color="auto" w:fill="auto"/>
            <w:vAlign w:val="center"/>
          </w:tcPr>
          <w:p w14:paraId="7665B810" w14:textId="4E458E48" w:rsidR="00670C79" w:rsidRPr="00B026CE" w:rsidRDefault="00670C79" w:rsidP="00146BB2">
            <w:pPr>
              <w:spacing w:after="60"/>
              <w:jc w:val="center"/>
              <w:rPr>
                <w:color w:val="000000" w:themeColor="text1"/>
                <w:sz w:val="18"/>
                <w:szCs w:val="20"/>
              </w:rPr>
            </w:pPr>
          </w:p>
        </w:tc>
        <w:tc>
          <w:tcPr>
            <w:tcW w:w="1366" w:type="dxa"/>
            <w:shd w:val="clear" w:color="auto" w:fill="auto"/>
            <w:vAlign w:val="center"/>
          </w:tcPr>
          <w:p w14:paraId="375332DA" w14:textId="5D7035B9" w:rsidR="00670C79" w:rsidRPr="00B026CE" w:rsidRDefault="00670C79" w:rsidP="00146BB2">
            <w:pPr>
              <w:spacing w:after="60"/>
              <w:jc w:val="center"/>
              <w:rPr>
                <w:color w:val="000000" w:themeColor="text1"/>
                <w:sz w:val="18"/>
                <w:szCs w:val="20"/>
              </w:rPr>
            </w:pPr>
          </w:p>
        </w:tc>
        <w:tc>
          <w:tcPr>
            <w:tcW w:w="1135" w:type="dxa"/>
            <w:shd w:val="clear" w:color="auto" w:fill="auto"/>
            <w:vAlign w:val="center"/>
          </w:tcPr>
          <w:p w14:paraId="0DD2A48C" w14:textId="34C9E4AE" w:rsidR="00670C79" w:rsidRPr="00B026CE" w:rsidRDefault="00670C79" w:rsidP="00146BB2">
            <w:pPr>
              <w:spacing w:after="60"/>
              <w:jc w:val="center"/>
              <w:rPr>
                <w:color w:val="000000" w:themeColor="text1"/>
                <w:sz w:val="18"/>
                <w:szCs w:val="20"/>
              </w:rPr>
            </w:pPr>
          </w:p>
        </w:tc>
        <w:tc>
          <w:tcPr>
            <w:tcW w:w="1448" w:type="dxa"/>
            <w:shd w:val="clear" w:color="auto" w:fill="auto"/>
            <w:vAlign w:val="center"/>
          </w:tcPr>
          <w:p w14:paraId="64FF500C" w14:textId="4056C552" w:rsidR="00670C79" w:rsidRPr="00B026CE" w:rsidRDefault="00670C79" w:rsidP="00146BB2">
            <w:pPr>
              <w:spacing w:after="60"/>
              <w:jc w:val="center"/>
              <w:rPr>
                <w:color w:val="000000" w:themeColor="text1"/>
                <w:sz w:val="18"/>
                <w:szCs w:val="20"/>
              </w:rPr>
            </w:pPr>
          </w:p>
        </w:tc>
      </w:tr>
      <w:tr w:rsidR="00FD6A2B" w:rsidRPr="00B026CE" w14:paraId="24F374CE" w14:textId="77777777" w:rsidTr="00B026CE">
        <w:tc>
          <w:tcPr>
            <w:tcW w:w="3828" w:type="dxa"/>
          </w:tcPr>
          <w:p w14:paraId="7075F3AB" w14:textId="3D2A3576" w:rsidR="0025682E" w:rsidRPr="00B026CE" w:rsidRDefault="00CD28D5" w:rsidP="00146BB2">
            <w:pPr>
              <w:spacing w:after="60"/>
              <w:jc w:val="both"/>
              <w:rPr>
                <w:b/>
                <w:bCs/>
                <w:color w:val="000000" w:themeColor="text1"/>
                <w:sz w:val="18"/>
                <w:szCs w:val="20"/>
              </w:rPr>
            </w:pPr>
            <w:r w:rsidRPr="00B026CE">
              <w:rPr>
                <w:b/>
                <w:bCs/>
                <w:color w:val="000000" w:themeColor="text1"/>
                <w:sz w:val="18"/>
                <w:szCs w:val="20"/>
              </w:rPr>
              <w:t>4.</w:t>
            </w:r>
            <w:r w:rsidR="00670C79" w:rsidRPr="00B026CE">
              <w:rPr>
                <w:b/>
                <w:bCs/>
                <w:color w:val="000000" w:themeColor="text1"/>
                <w:sz w:val="18"/>
                <w:szCs w:val="20"/>
              </w:rPr>
              <w:t>1.</w:t>
            </w:r>
            <w:r w:rsidRPr="00B026CE">
              <w:rPr>
                <w:b/>
                <w:bCs/>
                <w:color w:val="000000" w:themeColor="text1"/>
                <w:sz w:val="18"/>
                <w:szCs w:val="20"/>
              </w:rPr>
              <w:t xml:space="preserve"> </w:t>
            </w:r>
            <w:r w:rsidR="00670C79" w:rsidRPr="00B026CE">
              <w:rPr>
                <w:b/>
                <w:bCs/>
                <w:color w:val="000000" w:themeColor="text1"/>
                <w:sz w:val="18"/>
                <w:szCs w:val="20"/>
              </w:rPr>
              <w:t>Modificări ale veniturilor bugetare, plus/minus, din care:</w:t>
            </w:r>
          </w:p>
        </w:tc>
        <w:tc>
          <w:tcPr>
            <w:tcW w:w="567" w:type="dxa"/>
            <w:shd w:val="clear" w:color="auto" w:fill="auto"/>
          </w:tcPr>
          <w:p w14:paraId="7811CDB2" w14:textId="77777777" w:rsidR="00670C79" w:rsidRPr="00B026CE" w:rsidRDefault="00670C79" w:rsidP="00146BB2">
            <w:pPr>
              <w:pStyle w:val="BodyText2"/>
              <w:spacing w:after="60"/>
              <w:rPr>
                <w:color w:val="000000" w:themeColor="text1"/>
                <w:sz w:val="18"/>
                <w:szCs w:val="20"/>
              </w:rPr>
            </w:pPr>
          </w:p>
        </w:tc>
        <w:tc>
          <w:tcPr>
            <w:tcW w:w="723" w:type="dxa"/>
            <w:shd w:val="clear" w:color="auto" w:fill="auto"/>
          </w:tcPr>
          <w:p w14:paraId="5E0D1921" w14:textId="77777777" w:rsidR="00670C79" w:rsidRPr="00B026CE" w:rsidRDefault="00670C79" w:rsidP="00146BB2">
            <w:pPr>
              <w:pStyle w:val="BodyText2"/>
              <w:spacing w:after="60"/>
              <w:rPr>
                <w:color w:val="000000" w:themeColor="text1"/>
                <w:sz w:val="18"/>
                <w:szCs w:val="20"/>
              </w:rPr>
            </w:pPr>
          </w:p>
        </w:tc>
        <w:tc>
          <w:tcPr>
            <w:tcW w:w="1466" w:type="dxa"/>
            <w:shd w:val="clear" w:color="auto" w:fill="auto"/>
          </w:tcPr>
          <w:p w14:paraId="3789DD62" w14:textId="77777777" w:rsidR="00670C79" w:rsidRPr="00B026CE" w:rsidRDefault="00670C79" w:rsidP="00146BB2">
            <w:pPr>
              <w:pStyle w:val="BodyText2"/>
              <w:spacing w:after="60"/>
              <w:rPr>
                <w:color w:val="000000" w:themeColor="text1"/>
                <w:sz w:val="18"/>
                <w:szCs w:val="20"/>
              </w:rPr>
            </w:pPr>
          </w:p>
        </w:tc>
        <w:tc>
          <w:tcPr>
            <w:tcW w:w="1366" w:type="dxa"/>
            <w:shd w:val="clear" w:color="auto" w:fill="auto"/>
          </w:tcPr>
          <w:p w14:paraId="3EFEBCA3" w14:textId="77777777" w:rsidR="00670C79" w:rsidRPr="00B026CE" w:rsidRDefault="00670C79" w:rsidP="00146BB2">
            <w:pPr>
              <w:pStyle w:val="BodyText2"/>
              <w:spacing w:after="60"/>
              <w:rPr>
                <w:color w:val="000000" w:themeColor="text1"/>
                <w:sz w:val="18"/>
                <w:szCs w:val="20"/>
              </w:rPr>
            </w:pPr>
          </w:p>
        </w:tc>
        <w:tc>
          <w:tcPr>
            <w:tcW w:w="1135" w:type="dxa"/>
            <w:shd w:val="clear" w:color="auto" w:fill="auto"/>
          </w:tcPr>
          <w:p w14:paraId="4D97905B" w14:textId="77777777" w:rsidR="00670C79" w:rsidRPr="00B026CE" w:rsidRDefault="00670C79" w:rsidP="00146BB2">
            <w:pPr>
              <w:pStyle w:val="BodyText2"/>
              <w:spacing w:after="60"/>
              <w:rPr>
                <w:color w:val="000000" w:themeColor="text1"/>
                <w:sz w:val="18"/>
                <w:szCs w:val="20"/>
              </w:rPr>
            </w:pPr>
          </w:p>
        </w:tc>
        <w:tc>
          <w:tcPr>
            <w:tcW w:w="1448" w:type="dxa"/>
            <w:shd w:val="clear" w:color="auto" w:fill="auto"/>
          </w:tcPr>
          <w:p w14:paraId="4A89D66A" w14:textId="77777777" w:rsidR="00670C79" w:rsidRPr="00B026CE" w:rsidRDefault="00670C79" w:rsidP="00146BB2">
            <w:pPr>
              <w:pStyle w:val="BodyText2"/>
              <w:spacing w:after="60"/>
              <w:rPr>
                <w:color w:val="000000" w:themeColor="text1"/>
                <w:sz w:val="18"/>
                <w:szCs w:val="20"/>
              </w:rPr>
            </w:pPr>
          </w:p>
        </w:tc>
      </w:tr>
      <w:tr w:rsidR="00FD6A2B" w:rsidRPr="00B026CE" w14:paraId="7E845381" w14:textId="77777777" w:rsidTr="00B026CE">
        <w:tc>
          <w:tcPr>
            <w:tcW w:w="3828" w:type="dxa"/>
          </w:tcPr>
          <w:p w14:paraId="25792053" w14:textId="77777777" w:rsidR="003A367D" w:rsidRPr="00B026CE" w:rsidRDefault="003A367D" w:rsidP="00146BB2">
            <w:pPr>
              <w:spacing w:after="60"/>
              <w:jc w:val="both"/>
              <w:rPr>
                <w:color w:val="000000" w:themeColor="text1"/>
                <w:sz w:val="18"/>
                <w:szCs w:val="20"/>
              </w:rPr>
            </w:pPr>
            <w:r w:rsidRPr="00B026CE">
              <w:rPr>
                <w:color w:val="000000" w:themeColor="text1"/>
                <w:sz w:val="18"/>
                <w:szCs w:val="20"/>
              </w:rPr>
              <w:t>a) bugetul de stat, din acesta:</w:t>
            </w:r>
          </w:p>
          <w:p w14:paraId="32D9DBFB" w14:textId="15A036BA" w:rsidR="003A367D" w:rsidRPr="00B026CE" w:rsidRDefault="00CD28D5" w:rsidP="00146BB2">
            <w:pPr>
              <w:spacing w:after="60"/>
              <w:jc w:val="both"/>
              <w:rPr>
                <w:color w:val="000000" w:themeColor="text1"/>
                <w:sz w:val="18"/>
                <w:szCs w:val="20"/>
              </w:rPr>
            </w:pPr>
            <w:r w:rsidRPr="00B026CE">
              <w:rPr>
                <w:color w:val="000000" w:themeColor="text1"/>
                <w:sz w:val="18"/>
                <w:szCs w:val="20"/>
              </w:rPr>
              <w:t xml:space="preserve">(i) </w:t>
            </w:r>
            <w:r w:rsidR="003A367D" w:rsidRPr="00B026CE">
              <w:rPr>
                <w:color w:val="000000" w:themeColor="text1"/>
                <w:sz w:val="18"/>
                <w:szCs w:val="20"/>
              </w:rPr>
              <w:t>impozit pe profit</w:t>
            </w:r>
          </w:p>
          <w:p w14:paraId="67C4E169" w14:textId="0BD99910" w:rsidR="003A367D" w:rsidRPr="00B026CE" w:rsidRDefault="00CD28D5" w:rsidP="00146BB2">
            <w:pPr>
              <w:spacing w:after="60"/>
              <w:jc w:val="both"/>
              <w:rPr>
                <w:color w:val="000000" w:themeColor="text1"/>
                <w:sz w:val="18"/>
                <w:szCs w:val="20"/>
              </w:rPr>
            </w:pPr>
            <w:r w:rsidRPr="00B026CE">
              <w:rPr>
                <w:color w:val="000000" w:themeColor="text1"/>
                <w:sz w:val="18"/>
                <w:szCs w:val="20"/>
              </w:rPr>
              <w:t xml:space="preserve">(ii) </w:t>
            </w:r>
            <w:r w:rsidR="003A367D" w:rsidRPr="00B026CE">
              <w:rPr>
                <w:color w:val="000000" w:themeColor="text1"/>
                <w:sz w:val="18"/>
                <w:szCs w:val="20"/>
              </w:rPr>
              <w:t>impozit pe venit</w:t>
            </w:r>
          </w:p>
        </w:tc>
        <w:tc>
          <w:tcPr>
            <w:tcW w:w="567" w:type="dxa"/>
            <w:shd w:val="clear" w:color="auto" w:fill="auto"/>
          </w:tcPr>
          <w:p w14:paraId="07086A97" w14:textId="5BDCBA06" w:rsidR="003A367D" w:rsidRPr="00B026CE" w:rsidRDefault="003A367D" w:rsidP="00146BB2">
            <w:pPr>
              <w:pStyle w:val="BodyText2"/>
              <w:spacing w:after="60"/>
              <w:rPr>
                <w:color w:val="000000" w:themeColor="text1"/>
                <w:sz w:val="18"/>
                <w:szCs w:val="20"/>
              </w:rPr>
            </w:pPr>
          </w:p>
        </w:tc>
        <w:tc>
          <w:tcPr>
            <w:tcW w:w="723" w:type="dxa"/>
            <w:shd w:val="clear" w:color="auto" w:fill="auto"/>
          </w:tcPr>
          <w:p w14:paraId="68EDD67B" w14:textId="3DD94CD9" w:rsidR="003A367D" w:rsidRPr="00B026CE" w:rsidRDefault="003A367D" w:rsidP="00146BB2">
            <w:pPr>
              <w:pStyle w:val="BodyText2"/>
              <w:spacing w:after="60"/>
              <w:rPr>
                <w:color w:val="000000" w:themeColor="text1"/>
                <w:sz w:val="18"/>
                <w:szCs w:val="20"/>
              </w:rPr>
            </w:pPr>
          </w:p>
        </w:tc>
        <w:tc>
          <w:tcPr>
            <w:tcW w:w="1466" w:type="dxa"/>
            <w:shd w:val="clear" w:color="auto" w:fill="auto"/>
          </w:tcPr>
          <w:p w14:paraId="074A0C4C" w14:textId="54660469" w:rsidR="003A367D" w:rsidRPr="00B026CE" w:rsidRDefault="003A367D" w:rsidP="00146BB2">
            <w:pPr>
              <w:pStyle w:val="BodyText2"/>
              <w:spacing w:after="60"/>
              <w:rPr>
                <w:color w:val="000000" w:themeColor="text1"/>
                <w:sz w:val="18"/>
                <w:szCs w:val="20"/>
              </w:rPr>
            </w:pPr>
          </w:p>
        </w:tc>
        <w:tc>
          <w:tcPr>
            <w:tcW w:w="1366" w:type="dxa"/>
            <w:shd w:val="clear" w:color="auto" w:fill="auto"/>
          </w:tcPr>
          <w:p w14:paraId="3EC66A65" w14:textId="68C41957" w:rsidR="003A367D" w:rsidRPr="00B026CE" w:rsidRDefault="003A367D" w:rsidP="00146BB2">
            <w:pPr>
              <w:pStyle w:val="BodyText2"/>
              <w:spacing w:after="60"/>
              <w:rPr>
                <w:color w:val="000000" w:themeColor="text1"/>
                <w:sz w:val="18"/>
                <w:szCs w:val="20"/>
              </w:rPr>
            </w:pPr>
          </w:p>
        </w:tc>
        <w:tc>
          <w:tcPr>
            <w:tcW w:w="1135" w:type="dxa"/>
            <w:shd w:val="clear" w:color="auto" w:fill="auto"/>
          </w:tcPr>
          <w:p w14:paraId="5CEC73AA" w14:textId="460D1FB5" w:rsidR="003A367D" w:rsidRPr="00B026CE" w:rsidRDefault="003A367D" w:rsidP="00146BB2">
            <w:pPr>
              <w:pStyle w:val="BodyText2"/>
              <w:spacing w:after="60"/>
              <w:rPr>
                <w:color w:val="000000" w:themeColor="text1"/>
                <w:sz w:val="18"/>
                <w:szCs w:val="20"/>
              </w:rPr>
            </w:pPr>
          </w:p>
        </w:tc>
        <w:tc>
          <w:tcPr>
            <w:tcW w:w="1448" w:type="dxa"/>
            <w:shd w:val="clear" w:color="auto" w:fill="auto"/>
          </w:tcPr>
          <w:p w14:paraId="761E2BD4" w14:textId="00863B53" w:rsidR="003A367D" w:rsidRPr="00B026CE" w:rsidRDefault="003A367D" w:rsidP="00146BB2">
            <w:pPr>
              <w:pStyle w:val="BodyText2"/>
              <w:spacing w:after="60"/>
              <w:rPr>
                <w:color w:val="000000" w:themeColor="text1"/>
                <w:sz w:val="18"/>
                <w:szCs w:val="20"/>
              </w:rPr>
            </w:pPr>
          </w:p>
        </w:tc>
      </w:tr>
      <w:tr w:rsidR="00FD6A2B" w:rsidRPr="00B026CE" w14:paraId="6771B99C" w14:textId="77777777" w:rsidTr="00B026CE">
        <w:tc>
          <w:tcPr>
            <w:tcW w:w="3828" w:type="dxa"/>
          </w:tcPr>
          <w:p w14:paraId="6A8A0E7F" w14:textId="577483D3" w:rsidR="003A367D" w:rsidRPr="00B026CE" w:rsidRDefault="003A367D" w:rsidP="00146BB2">
            <w:pPr>
              <w:spacing w:after="60"/>
              <w:jc w:val="both"/>
              <w:rPr>
                <w:color w:val="000000" w:themeColor="text1"/>
                <w:sz w:val="18"/>
                <w:szCs w:val="20"/>
              </w:rPr>
            </w:pPr>
            <w:r w:rsidRPr="00B026CE">
              <w:rPr>
                <w:color w:val="000000" w:themeColor="text1"/>
                <w:sz w:val="18"/>
                <w:szCs w:val="20"/>
              </w:rPr>
              <w:t>b) bugete locale:</w:t>
            </w:r>
          </w:p>
          <w:p w14:paraId="3B0FCECB" w14:textId="7AB36B1B" w:rsidR="003A367D" w:rsidRPr="00B026CE" w:rsidRDefault="00CD28D5" w:rsidP="00146BB2">
            <w:pPr>
              <w:spacing w:after="60"/>
              <w:jc w:val="both"/>
              <w:rPr>
                <w:color w:val="000000" w:themeColor="text1"/>
                <w:sz w:val="18"/>
                <w:szCs w:val="20"/>
              </w:rPr>
            </w:pPr>
            <w:r w:rsidRPr="00B026CE">
              <w:rPr>
                <w:color w:val="000000" w:themeColor="text1"/>
                <w:sz w:val="18"/>
                <w:szCs w:val="20"/>
              </w:rPr>
              <w:t xml:space="preserve">(i) </w:t>
            </w:r>
            <w:r w:rsidR="003A367D" w:rsidRPr="00B026CE">
              <w:rPr>
                <w:color w:val="000000" w:themeColor="text1"/>
                <w:sz w:val="18"/>
                <w:szCs w:val="20"/>
              </w:rPr>
              <w:t>impozit pe profit</w:t>
            </w:r>
          </w:p>
        </w:tc>
        <w:tc>
          <w:tcPr>
            <w:tcW w:w="567" w:type="dxa"/>
            <w:shd w:val="clear" w:color="auto" w:fill="auto"/>
          </w:tcPr>
          <w:p w14:paraId="687D0BEC" w14:textId="389E8717" w:rsidR="003A367D" w:rsidRPr="00B026CE" w:rsidRDefault="003A367D" w:rsidP="00146BB2">
            <w:pPr>
              <w:pStyle w:val="BodyText2"/>
              <w:spacing w:after="60"/>
              <w:rPr>
                <w:color w:val="000000" w:themeColor="text1"/>
                <w:sz w:val="18"/>
                <w:szCs w:val="20"/>
              </w:rPr>
            </w:pPr>
          </w:p>
        </w:tc>
        <w:tc>
          <w:tcPr>
            <w:tcW w:w="723" w:type="dxa"/>
            <w:shd w:val="clear" w:color="auto" w:fill="auto"/>
          </w:tcPr>
          <w:p w14:paraId="203F5632" w14:textId="34B15014" w:rsidR="003A367D" w:rsidRPr="00B026CE" w:rsidRDefault="003A367D" w:rsidP="00146BB2">
            <w:pPr>
              <w:pStyle w:val="BodyText2"/>
              <w:spacing w:after="60"/>
              <w:rPr>
                <w:color w:val="000000" w:themeColor="text1"/>
                <w:sz w:val="18"/>
                <w:szCs w:val="20"/>
              </w:rPr>
            </w:pPr>
          </w:p>
        </w:tc>
        <w:tc>
          <w:tcPr>
            <w:tcW w:w="1466" w:type="dxa"/>
            <w:shd w:val="clear" w:color="auto" w:fill="auto"/>
          </w:tcPr>
          <w:p w14:paraId="38DA8080" w14:textId="1159E297" w:rsidR="003A367D" w:rsidRPr="00B026CE" w:rsidRDefault="003A367D" w:rsidP="00146BB2">
            <w:pPr>
              <w:pStyle w:val="BodyText2"/>
              <w:spacing w:after="60"/>
              <w:rPr>
                <w:color w:val="000000" w:themeColor="text1"/>
                <w:sz w:val="18"/>
                <w:szCs w:val="20"/>
              </w:rPr>
            </w:pPr>
          </w:p>
        </w:tc>
        <w:tc>
          <w:tcPr>
            <w:tcW w:w="1366" w:type="dxa"/>
            <w:shd w:val="clear" w:color="auto" w:fill="auto"/>
          </w:tcPr>
          <w:p w14:paraId="31807B27" w14:textId="40566DBB" w:rsidR="003A367D" w:rsidRPr="00B026CE" w:rsidRDefault="003A367D" w:rsidP="00146BB2">
            <w:pPr>
              <w:pStyle w:val="BodyText2"/>
              <w:spacing w:after="60"/>
              <w:rPr>
                <w:color w:val="000000" w:themeColor="text1"/>
                <w:sz w:val="18"/>
                <w:szCs w:val="20"/>
              </w:rPr>
            </w:pPr>
          </w:p>
        </w:tc>
        <w:tc>
          <w:tcPr>
            <w:tcW w:w="1135" w:type="dxa"/>
            <w:shd w:val="clear" w:color="auto" w:fill="auto"/>
          </w:tcPr>
          <w:p w14:paraId="29015A0A" w14:textId="4EBC8596" w:rsidR="003A367D" w:rsidRPr="00B026CE" w:rsidRDefault="003A367D" w:rsidP="00146BB2">
            <w:pPr>
              <w:pStyle w:val="BodyText2"/>
              <w:spacing w:after="60"/>
              <w:rPr>
                <w:color w:val="000000" w:themeColor="text1"/>
                <w:sz w:val="18"/>
                <w:szCs w:val="20"/>
              </w:rPr>
            </w:pPr>
          </w:p>
        </w:tc>
        <w:tc>
          <w:tcPr>
            <w:tcW w:w="1448" w:type="dxa"/>
            <w:shd w:val="clear" w:color="auto" w:fill="auto"/>
          </w:tcPr>
          <w:p w14:paraId="33E8076D" w14:textId="315D9F7D" w:rsidR="003A367D" w:rsidRPr="00B026CE" w:rsidRDefault="003A367D" w:rsidP="00146BB2">
            <w:pPr>
              <w:pStyle w:val="BodyText2"/>
              <w:spacing w:after="60"/>
              <w:rPr>
                <w:color w:val="000000" w:themeColor="text1"/>
                <w:sz w:val="18"/>
                <w:szCs w:val="20"/>
              </w:rPr>
            </w:pPr>
          </w:p>
        </w:tc>
      </w:tr>
      <w:tr w:rsidR="00FD6A2B" w:rsidRPr="00B026CE" w14:paraId="3ECF4DE7" w14:textId="77777777" w:rsidTr="00B026CE">
        <w:tc>
          <w:tcPr>
            <w:tcW w:w="3828" w:type="dxa"/>
          </w:tcPr>
          <w:p w14:paraId="454D76E8" w14:textId="401F8F98" w:rsidR="003A367D" w:rsidRPr="00B026CE" w:rsidRDefault="003A367D" w:rsidP="00146BB2">
            <w:pPr>
              <w:spacing w:after="60"/>
              <w:jc w:val="both"/>
              <w:rPr>
                <w:color w:val="000000" w:themeColor="text1"/>
                <w:sz w:val="18"/>
                <w:szCs w:val="20"/>
              </w:rPr>
            </w:pPr>
            <w:r w:rsidRPr="00B026CE">
              <w:rPr>
                <w:color w:val="000000" w:themeColor="text1"/>
                <w:sz w:val="18"/>
                <w:szCs w:val="20"/>
              </w:rPr>
              <w:t>c) bugetul asigurărilor sociale</w:t>
            </w:r>
            <w:r w:rsidR="00CD13F8" w:rsidRPr="00B026CE">
              <w:rPr>
                <w:color w:val="000000" w:themeColor="text1"/>
                <w:sz w:val="18"/>
                <w:szCs w:val="20"/>
              </w:rPr>
              <w:t xml:space="preserve"> de stat</w:t>
            </w:r>
          </w:p>
          <w:p w14:paraId="551EFD10" w14:textId="6A1DCE03" w:rsidR="003A367D" w:rsidRPr="00B026CE" w:rsidRDefault="00CD28D5" w:rsidP="00146BB2">
            <w:pPr>
              <w:spacing w:after="60"/>
              <w:jc w:val="both"/>
              <w:rPr>
                <w:color w:val="000000" w:themeColor="text1"/>
                <w:sz w:val="18"/>
                <w:szCs w:val="20"/>
              </w:rPr>
            </w:pPr>
            <w:r w:rsidRPr="00B026CE">
              <w:rPr>
                <w:color w:val="000000" w:themeColor="text1"/>
                <w:sz w:val="18"/>
                <w:szCs w:val="20"/>
              </w:rPr>
              <w:t xml:space="preserve">(i) </w:t>
            </w:r>
            <w:r w:rsidR="003A367D" w:rsidRPr="00B026CE">
              <w:rPr>
                <w:color w:val="000000" w:themeColor="text1"/>
                <w:sz w:val="18"/>
                <w:szCs w:val="20"/>
              </w:rPr>
              <w:t>contribuţii de asigurări</w:t>
            </w:r>
          </w:p>
        </w:tc>
        <w:tc>
          <w:tcPr>
            <w:tcW w:w="567" w:type="dxa"/>
            <w:shd w:val="clear" w:color="auto" w:fill="auto"/>
          </w:tcPr>
          <w:p w14:paraId="20DF36E4" w14:textId="6FBC49A3" w:rsidR="003A367D" w:rsidRPr="00B026CE" w:rsidRDefault="003A367D" w:rsidP="00146BB2">
            <w:pPr>
              <w:pStyle w:val="BodyText2"/>
              <w:spacing w:after="60"/>
              <w:rPr>
                <w:color w:val="000000" w:themeColor="text1"/>
                <w:sz w:val="18"/>
                <w:szCs w:val="20"/>
              </w:rPr>
            </w:pPr>
          </w:p>
        </w:tc>
        <w:tc>
          <w:tcPr>
            <w:tcW w:w="723" w:type="dxa"/>
            <w:shd w:val="clear" w:color="auto" w:fill="auto"/>
          </w:tcPr>
          <w:p w14:paraId="2E4987C5" w14:textId="2561DA24" w:rsidR="003A367D" w:rsidRPr="00B026CE" w:rsidRDefault="003A367D" w:rsidP="00146BB2">
            <w:pPr>
              <w:pStyle w:val="BodyText2"/>
              <w:spacing w:after="60"/>
              <w:rPr>
                <w:color w:val="000000" w:themeColor="text1"/>
                <w:sz w:val="18"/>
                <w:szCs w:val="20"/>
              </w:rPr>
            </w:pPr>
          </w:p>
        </w:tc>
        <w:tc>
          <w:tcPr>
            <w:tcW w:w="1466" w:type="dxa"/>
            <w:shd w:val="clear" w:color="auto" w:fill="auto"/>
          </w:tcPr>
          <w:p w14:paraId="55EA5A38" w14:textId="35FA6E85" w:rsidR="003A367D" w:rsidRPr="00B026CE" w:rsidRDefault="003A367D" w:rsidP="00146BB2">
            <w:pPr>
              <w:pStyle w:val="BodyText2"/>
              <w:spacing w:after="60"/>
              <w:rPr>
                <w:color w:val="000000" w:themeColor="text1"/>
                <w:sz w:val="18"/>
                <w:szCs w:val="20"/>
              </w:rPr>
            </w:pPr>
          </w:p>
        </w:tc>
        <w:tc>
          <w:tcPr>
            <w:tcW w:w="1366" w:type="dxa"/>
            <w:shd w:val="clear" w:color="auto" w:fill="auto"/>
          </w:tcPr>
          <w:p w14:paraId="1A940564" w14:textId="636EBD2E" w:rsidR="003A367D" w:rsidRPr="00B026CE" w:rsidRDefault="003A367D" w:rsidP="00146BB2">
            <w:pPr>
              <w:pStyle w:val="BodyText2"/>
              <w:spacing w:after="60"/>
              <w:rPr>
                <w:color w:val="000000" w:themeColor="text1"/>
                <w:sz w:val="18"/>
                <w:szCs w:val="20"/>
              </w:rPr>
            </w:pPr>
          </w:p>
        </w:tc>
        <w:tc>
          <w:tcPr>
            <w:tcW w:w="1135" w:type="dxa"/>
            <w:shd w:val="clear" w:color="auto" w:fill="auto"/>
          </w:tcPr>
          <w:p w14:paraId="3B9F8826" w14:textId="2A5C77E3" w:rsidR="003A367D" w:rsidRPr="00B026CE" w:rsidRDefault="003A367D" w:rsidP="00146BB2">
            <w:pPr>
              <w:pStyle w:val="BodyText2"/>
              <w:spacing w:after="60"/>
              <w:rPr>
                <w:color w:val="000000" w:themeColor="text1"/>
                <w:sz w:val="18"/>
                <w:szCs w:val="20"/>
              </w:rPr>
            </w:pPr>
          </w:p>
        </w:tc>
        <w:tc>
          <w:tcPr>
            <w:tcW w:w="1448" w:type="dxa"/>
            <w:shd w:val="clear" w:color="auto" w:fill="auto"/>
          </w:tcPr>
          <w:p w14:paraId="7236E3D5" w14:textId="387001B4" w:rsidR="003A367D" w:rsidRPr="00B026CE" w:rsidRDefault="003A367D" w:rsidP="00146BB2">
            <w:pPr>
              <w:pStyle w:val="BodyText2"/>
              <w:spacing w:after="60"/>
              <w:rPr>
                <w:color w:val="000000" w:themeColor="text1"/>
                <w:sz w:val="18"/>
                <w:szCs w:val="20"/>
              </w:rPr>
            </w:pPr>
          </w:p>
        </w:tc>
      </w:tr>
      <w:tr w:rsidR="00FD6A2B" w:rsidRPr="00B026CE" w14:paraId="3B61ACE7" w14:textId="77777777" w:rsidTr="00B026CE">
        <w:tc>
          <w:tcPr>
            <w:tcW w:w="3828" w:type="dxa"/>
          </w:tcPr>
          <w:p w14:paraId="5EB8BD87" w14:textId="01F3C3DA" w:rsidR="00615991" w:rsidRPr="00B026CE" w:rsidRDefault="00615991" w:rsidP="00020B3F">
            <w:pPr>
              <w:spacing w:after="60"/>
              <w:jc w:val="both"/>
              <w:rPr>
                <w:color w:val="000000" w:themeColor="text1"/>
                <w:sz w:val="18"/>
                <w:szCs w:val="20"/>
              </w:rPr>
            </w:pPr>
            <w:r w:rsidRPr="00B026CE">
              <w:rPr>
                <w:color w:val="000000" w:themeColor="text1"/>
                <w:sz w:val="18"/>
                <w:szCs w:val="20"/>
              </w:rPr>
              <w:t>d) alte tipuri de venituri</w:t>
            </w:r>
          </w:p>
        </w:tc>
        <w:tc>
          <w:tcPr>
            <w:tcW w:w="567" w:type="dxa"/>
            <w:shd w:val="clear" w:color="auto" w:fill="auto"/>
          </w:tcPr>
          <w:p w14:paraId="704BCA51" w14:textId="0CE4E221" w:rsidR="00615991" w:rsidRPr="00B026CE" w:rsidRDefault="00615991" w:rsidP="00146BB2">
            <w:pPr>
              <w:pStyle w:val="BodyText2"/>
              <w:spacing w:after="60"/>
              <w:rPr>
                <w:color w:val="000000" w:themeColor="text1"/>
                <w:sz w:val="18"/>
                <w:szCs w:val="20"/>
                <w:highlight w:val="yellow"/>
              </w:rPr>
            </w:pPr>
          </w:p>
        </w:tc>
        <w:tc>
          <w:tcPr>
            <w:tcW w:w="723" w:type="dxa"/>
            <w:shd w:val="clear" w:color="auto" w:fill="auto"/>
          </w:tcPr>
          <w:p w14:paraId="269D834F" w14:textId="1D8DE4F6" w:rsidR="00615991" w:rsidRPr="00B026CE" w:rsidRDefault="00615991" w:rsidP="00146BB2">
            <w:pPr>
              <w:pStyle w:val="BodyText2"/>
              <w:spacing w:after="60"/>
              <w:rPr>
                <w:color w:val="000000" w:themeColor="text1"/>
                <w:sz w:val="18"/>
                <w:szCs w:val="20"/>
                <w:highlight w:val="yellow"/>
              </w:rPr>
            </w:pPr>
          </w:p>
        </w:tc>
        <w:tc>
          <w:tcPr>
            <w:tcW w:w="1466" w:type="dxa"/>
            <w:shd w:val="clear" w:color="auto" w:fill="auto"/>
          </w:tcPr>
          <w:p w14:paraId="03C3272C" w14:textId="3BFE1FBF" w:rsidR="00615991" w:rsidRPr="00B026CE" w:rsidRDefault="00615991" w:rsidP="00146BB2">
            <w:pPr>
              <w:pStyle w:val="BodyText2"/>
              <w:spacing w:after="60"/>
              <w:rPr>
                <w:color w:val="000000" w:themeColor="text1"/>
                <w:sz w:val="18"/>
                <w:szCs w:val="20"/>
              </w:rPr>
            </w:pPr>
          </w:p>
        </w:tc>
        <w:tc>
          <w:tcPr>
            <w:tcW w:w="1366" w:type="dxa"/>
            <w:shd w:val="clear" w:color="auto" w:fill="auto"/>
          </w:tcPr>
          <w:p w14:paraId="70C282AC" w14:textId="1F14B58F" w:rsidR="00615991" w:rsidRPr="00B026CE" w:rsidRDefault="00615991" w:rsidP="00146BB2">
            <w:pPr>
              <w:pStyle w:val="BodyText2"/>
              <w:spacing w:after="60"/>
              <w:rPr>
                <w:color w:val="000000" w:themeColor="text1"/>
                <w:sz w:val="18"/>
                <w:szCs w:val="20"/>
              </w:rPr>
            </w:pPr>
          </w:p>
        </w:tc>
        <w:tc>
          <w:tcPr>
            <w:tcW w:w="1135" w:type="dxa"/>
            <w:shd w:val="clear" w:color="auto" w:fill="auto"/>
          </w:tcPr>
          <w:p w14:paraId="711BE975" w14:textId="7885FA40" w:rsidR="00615991" w:rsidRPr="00B026CE" w:rsidRDefault="00615991" w:rsidP="00146BB2">
            <w:pPr>
              <w:pStyle w:val="BodyText2"/>
              <w:spacing w:after="60"/>
              <w:rPr>
                <w:color w:val="000000" w:themeColor="text1"/>
                <w:sz w:val="18"/>
                <w:szCs w:val="20"/>
              </w:rPr>
            </w:pPr>
          </w:p>
        </w:tc>
        <w:tc>
          <w:tcPr>
            <w:tcW w:w="1448" w:type="dxa"/>
            <w:shd w:val="clear" w:color="auto" w:fill="auto"/>
          </w:tcPr>
          <w:p w14:paraId="56D819C6" w14:textId="46DE5825" w:rsidR="00615991" w:rsidRPr="00B026CE" w:rsidRDefault="00615991" w:rsidP="00146BB2">
            <w:pPr>
              <w:pStyle w:val="BodyText2"/>
              <w:spacing w:after="60"/>
              <w:rPr>
                <w:color w:val="000000" w:themeColor="text1"/>
                <w:sz w:val="18"/>
                <w:szCs w:val="20"/>
              </w:rPr>
            </w:pPr>
          </w:p>
        </w:tc>
      </w:tr>
      <w:tr w:rsidR="00FD6A2B" w:rsidRPr="00B026CE" w14:paraId="126F1061" w14:textId="77777777" w:rsidTr="00B026CE">
        <w:tc>
          <w:tcPr>
            <w:tcW w:w="3828" w:type="dxa"/>
          </w:tcPr>
          <w:p w14:paraId="1415B230" w14:textId="72A3E85F" w:rsidR="00615991" w:rsidRPr="00B026CE" w:rsidRDefault="00615991" w:rsidP="00146BB2">
            <w:pPr>
              <w:spacing w:after="60"/>
              <w:jc w:val="both"/>
              <w:rPr>
                <w:b/>
                <w:bCs/>
                <w:color w:val="000000" w:themeColor="text1"/>
                <w:sz w:val="18"/>
                <w:szCs w:val="20"/>
              </w:rPr>
            </w:pPr>
            <w:r w:rsidRPr="00B026CE">
              <w:rPr>
                <w:b/>
                <w:bCs/>
                <w:color w:val="000000" w:themeColor="text1"/>
                <w:sz w:val="18"/>
                <w:szCs w:val="20"/>
              </w:rPr>
              <w:t>4.2. Modificări ale cheltuielilor bugetare, plus/minus, din care:</w:t>
            </w:r>
          </w:p>
        </w:tc>
        <w:tc>
          <w:tcPr>
            <w:tcW w:w="567" w:type="dxa"/>
            <w:shd w:val="clear" w:color="auto" w:fill="auto"/>
          </w:tcPr>
          <w:p w14:paraId="7BB1C451" w14:textId="6E9A7DD0" w:rsidR="00615991" w:rsidRPr="00B026CE" w:rsidRDefault="00615991" w:rsidP="00146BB2">
            <w:pPr>
              <w:spacing w:after="60"/>
              <w:jc w:val="center"/>
              <w:rPr>
                <w:color w:val="000000" w:themeColor="text1"/>
                <w:sz w:val="18"/>
                <w:szCs w:val="20"/>
              </w:rPr>
            </w:pPr>
          </w:p>
        </w:tc>
        <w:tc>
          <w:tcPr>
            <w:tcW w:w="723" w:type="dxa"/>
            <w:shd w:val="clear" w:color="auto" w:fill="auto"/>
          </w:tcPr>
          <w:p w14:paraId="44C5A3FF" w14:textId="5D5DB2A0" w:rsidR="00615991" w:rsidRPr="00B026CE" w:rsidRDefault="00615991" w:rsidP="00146BB2">
            <w:pPr>
              <w:spacing w:after="60"/>
              <w:jc w:val="center"/>
              <w:rPr>
                <w:color w:val="000000" w:themeColor="text1"/>
                <w:sz w:val="18"/>
                <w:szCs w:val="20"/>
              </w:rPr>
            </w:pPr>
          </w:p>
        </w:tc>
        <w:tc>
          <w:tcPr>
            <w:tcW w:w="1466" w:type="dxa"/>
            <w:shd w:val="clear" w:color="auto" w:fill="auto"/>
          </w:tcPr>
          <w:p w14:paraId="1702DFD2" w14:textId="28B5B140" w:rsidR="00615991" w:rsidRPr="00B026CE" w:rsidRDefault="00615991" w:rsidP="00146BB2">
            <w:pPr>
              <w:spacing w:after="60"/>
              <w:jc w:val="center"/>
              <w:rPr>
                <w:color w:val="000000" w:themeColor="text1"/>
                <w:sz w:val="18"/>
                <w:szCs w:val="20"/>
              </w:rPr>
            </w:pPr>
          </w:p>
        </w:tc>
        <w:tc>
          <w:tcPr>
            <w:tcW w:w="1366" w:type="dxa"/>
            <w:shd w:val="clear" w:color="auto" w:fill="auto"/>
          </w:tcPr>
          <w:p w14:paraId="1D7B38D6" w14:textId="279F636A" w:rsidR="00615991" w:rsidRPr="00B026CE" w:rsidRDefault="00615991" w:rsidP="00146BB2">
            <w:pPr>
              <w:spacing w:after="60"/>
              <w:jc w:val="center"/>
              <w:rPr>
                <w:color w:val="000000" w:themeColor="text1"/>
                <w:sz w:val="18"/>
                <w:szCs w:val="20"/>
              </w:rPr>
            </w:pPr>
          </w:p>
        </w:tc>
        <w:tc>
          <w:tcPr>
            <w:tcW w:w="1135" w:type="dxa"/>
            <w:shd w:val="clear" w:color="auto" w:fill="auto"/>
          </w:tcPr>
          <w:p w14:paraId="09F7CD9E" w14:textId="7625EA6E" w:rsidR="00615991" w:rsidRPr="00B026CE" w:rsidRDefault="00615991" w:rsidP="00146BB2">
            <w:pPr>
              <w:spacing w:after="60"/>
              <w:jc w:val="center"/>
              <w:rPr>
                <w:color w:val="000000" w:themeColor="text1"/>
                <w:sz w:val="18"/>
                <w:szCs w:val="20"/>
              </w:rPr>
            </w:pPr>
          </w:p>
        </w:tc>
        <w:tc>
          <w:tcPr>
            <w:tcW w:w="1448" w:type="dxa"/>
            <w:shd w:val="clear" w:color="auto" w:fill="auto"/>
          </w:tcPr>
          <w:p w14:paraId="16493B27" w14:textId="1F46B1F6" w:rsidR="00615991" w:rsidRPr="00B026CE" w:rsidRDefault="00615991" w:rsidP="00146BB2">
            <w:pPr>
              <w:spacing w:after="60"/>
              <w:jc w:val="center"/>
              <w:rPr>
                <w:color w:val="000000" w:themeColor="text1"/>
                <w:sz w:val="18"/>
                <w:szCs w:val="20"/>
              </w:rPr>
            </w:pPr>
          </w:p>
        </w:tc>
      </w:tr>
      <w:tr w:rsidR="00FD6A2B" w:rsidRPr="00B026CE" w14:paraId="408E6817" w14:textId="77777777" w:rsidTr="00B026CE">
        <w:tc>
          <w:tcPr>
            <w:tcW w:w="3828" w:type="dxa"/>
          </w:tcPr>
          <w:p w14:paraId="2D265B20" w14:textId="19563007" w:rsidR="00615991" w:rsidRPr="00B026CE" w:rsidRDefault="00615991" w:rsidP="00146BB2">
            <w:pPr>
              <w:spacing w:after="60"/>
              <w:jc w:val="both"/>
              <w:rPr>
                <w:color w:val="000000" w:themeColor="text1"/>
                <w:sz w:val="18"/>
                <w:szCs w:val="20"/>
              </w:rPr>
            </w:pPr>
            <w:r w:rsidRPr="00B026CE">
              <w:rPr>
                <w:color w:val="000000" w:themeColor="text1"/>
                <w:sz w:val="18"/>
                <w:szCs w:val="20"/>
              </w:rPr>
              <w:t>a) buget de stat, din acesta:</w:t>
            </w:r>
          </w:p>
          <w:p w14:paraId="3382ADB9" w14:textId="31517959" w:rsidR="00615991" w:rsidRPr="00B026CE" w:rsidRDefault="00615991" w:rsidP="00146BB2">
            <w:pPr>
              <w:spacing w:after="60"/>
              <w:jc w:val="both"/>
              <w:rPr>
                <w:color w:val="000000" w:themeColor="text1"/>
                <w:sz w:val="18"/>
                <w:szCs w:val="20"/>
              </w:rPr>
            </w:pPr>
            <w:r w:rsidRPr="00B026CE">
              <w:rPr>
                <w:color w:val="000000" w:themeColor="text1"/>
                <w:sz w:val="18"/>
                <w:szCs w:val="20"/>
              </w:rPr>
              <w:t>(i) cheltuieli de personal</w:t>
            </w:r>
          </w:p>
          <w:p w14:paraId="2AF2C20C" w14:textId="24F90ED4" w:rsidR="00615991" w:rsidRPr="00B026CE" w:rsidRDefault="00615991" w:rsidP="00146BB2">
            <w:pPr>
              <w:spacing w:after="60"/>
              <w:jc w:val="both"/>
              <w:rPr>
                <w:color w:val="000000" w:themeColor="text1"/>
                <w:sz w:val="18"/>
                <w:szCs w:val="20"/>
              </w:rPr>
            </w:pPr>
            <w:r w:rsidRPr="00B026CE">
              <w:rPr>
                <w:color w:val="000000" w:themeColor="text1"/>
                <w:sz w:val="18"/>
                <w:szCs w:val="20"/>
              </w:rPr>
              <w:t>(ii) bunuri şi servicii</w:t>
            </w:r>
          </w:p>
        </w:tc>
        <w:tc>
          <w:tcPr>
            <w:tcW w:w="567" w:type="dxa"/>
            <w:shd w:val="clear" w:color="auto" w:fill="auto"/>
          </w:tcPr>
          <w:p w14:paraId="3E0B1602" w14:textId="5AE856AF" w:rsidR="00615991" w:rsidRPr="00B026CE" w:rsidRDefault="00615991" w:rsidP="00146BB2">
            <w:pPr>
              <w:spacing w:after="60"/>
              <w:jc w:val="center"/>
              <w:rPr>
                <w:color w:val="000000" w:themeColor="text1"/>
                <w:sz w:val="18"/>
                <w:szCs w:val="20"/>
              </w:rPr>
            </w:pPr>
          </w:p>
        </w:tc>
        <w:tc>
          <w:tcPr>
            <w:tcW w:w="723" w:type="dxa"/>
            <w:shd w:val="clear" w:color="auto" w:fill="auto"/>
          </w:tcPr>
          <w:p w14:paraId="4A5827CA" w14:textId="1E527036" w:rsidR="00615991" w:rsidRPr="00B026CE" w:rsidRDefault="00615991" w:rsidP="00146BB2">
            <w:pPr>
              <w:spacing w:after="60"/>
              <w:jc w:val="center"/>
              <w:rPr>
                <w:color w:val="000000" w:themeColor="text1"/>
                <w:sz w:val="18"/>
                <w:szCs w:val="20"/>
              </w:rPr>
            </w:pPr>
          </w:p>
        </w:tc>
        <w:tc>
          <w:tcPr>
            <w:tcW w:w="1466" w:type="dxa"/>
            <w:shd w:val="clear" w:color="auto" w:fill="auto"/>
          </w:tcPr>
          <w:p w14:paraId="32FB3ACA" w14:textId="5BA78C06" w:rsidR="00615991" w:rsidRPr="00B026CE" w:rsidRDefault="00615991" w:rsidP="00146BB2">
            <w:pPr>
              <w:spacing w:after="60"/>
              <w:jc w:val="center"/>
              <w:rPr>
                <w:color w:val="000000" w:themeColor="text1"/>
                <w:sz w:val="18"/>
                <w:szCs w:val="20"/>
              </w:rPr>
            </w:pPr>
          </w:p>
        </w:tc>
        <w:tc>
          <w:tcPr>
            <w:tcW w:w="1366" w:type="dxa"/>
            <w:shd w:val="clear" w:color="auto" w:fill="auto"/>
          </w:tcPr>
          <w:p w14:paraId="6B0B1905" w14:textId="45B3BC2A" w:rsidR="00615991" w:rsidRPr="00B026CE" w:rsidRDefault="00615991" w:rsidP="00146BB2">
            <w:pPr>
              <w:spacing w:after="60"/>
              <w:jc w:val="center"/>
              <w:rPr>
                <w:color w:val="000000" w:themeColor="text1"/>
                <w:sz w:val="18"/>
                <w:szCs w:val="20"/>
              </w:rPr>
            </w:pPr>
          </w:p>
        </w:tc>
        <w:tc>
          <w:tcPr>
            <w:tcW w:w="1135" w:type="dxa"/>
            <w:shd w:val="clear" w:color="auto" w:fill="auto"/>
          </w:tcPr>
          <w:p w14:paraId="23CBB327" w14:textId="1B466603" w:rsidR="00615991" w:rsidRPr="00B026CE" w:rsidRDefault="00615991" w:rsidP="00146BB2">
            <w:pPr>
              <w:spacing w:after="60"/>
              <w:jc w:val="center"/>
              <w:rPr>
                <w:color w:val="000000" w:themeColor="text1"/>
                <w:sz w:val="18"/>
                <w:szCs w:val="20"/>
              </w:rPr>
            </w:pPr>
          </w:p>
        </w:tc>
        <w:tc>
          <w:tcPr>
            <w:tcW w:w="1448" w:type="dxa"/>
            <w:shd w:val="clear" w:color="auto" w:fill="auto"/>
          </w:tcPr>
          <w:p w14:paraId="58A4AD04" w14:textId="76C430E4" w:rsidR="00615991" w:rsidRPr="00B026CE" w:rsidRDefault="00615991" w:rsidP="00146BB2">
            <w:pPr>
              <w:spacing w:after="60"/>
              <w:jc w:val="center"/>
              <w:rPr>
                <w:color w:val="000000" w:themeColor="text1"/>
                <w:sz w:val="18"/>
                <w:szCs w:val="20"/>
              </w:rPr>
            </w:pPr>
          </w:p>
        </w:tc>
      </w:tr>
      <w:tr w:rsidR="00FD6A2B" w:rsidRPr="00B026CE" w14:paraId="247EA305" w14:textId="77777777" w:rsidTr="00B026CE">
        <w:tc>
          <w:tcPr>
            <w:tcW w:w="3828" w:type="dxa"/>
          </w:tcPr>
          <w:p w14:paraId="1413F8FD" w14:textId="15D4A2BF" w:rsidR="00615991" w:rsidRPr="00B026CE" w:rsidRDefault="00615991" w:rsidP="00146BB2">
            <w:pPr>
              <w:spacing w:after="60"/>
              <w:jc w:val="both"/>
              <w:rPr>
                <w:color w:val="000000" w:themeColor="text1"/>
                <w:sz w:val="18"/>
                <w:szCs w:val="20"/>
              </w:rPr>
            </w:pPr>
            <w:r w:rsidRPr="00B026CE">
              <w:rPr>
                <w:color w:val="000000" w:themeColor="text1"/>
                <w:sz w:val="18"/>
                <w:szCs w:val="20"/>
              </w:rPr>
              <w:lastRenderedPageBreak/>
              <w:t>b) bugete locale:</w:t>
            </w:r>
          </w:p>
          <w:p w14:paraId="5D43B430" w14:textId="0375DEBE" w:rsidR="00615991" w:rsidRPr="00B026CE" w:rsidRDefault="00615991" w:rsidP="00146BB2">
            <w:pPr>
              <w:spacing w:after="60"/>
              <w:jc w:val="both"/>
              <w:rPr>
                <w:color w:val="000000" w:themeColor="text1"/>
                <w:sz w:val="18"/>
                <w:szCs w:val="20"/>
              </w:rPr>
            </w:pPr>
            <w:r w:rsidRPr="00B026CE">
              <w:rPr>
                <w:color w:val="000000" w:themeColor="text1"/>
                <w:sz w:val="18"/>
                <w:szCs w:val="20"/>
              </w:rPr>
              <w:t>(i) cheltuieli de personal</w:t>
            </w:r>
          </w:p>
          <w:p w14:paraId="5FAAC7DC" w14:textId="3646E615" w:rsidR="00615991" w:rsidRPr="00B026CE" w:rsidRDefault="00615991" w:rsidP="00146BB2">
            <w:pPr>
              <w:spacing w:after="60"/>
              <w:jc w:val="both"/>
              <w:rPr>
                <w:color w:val="000000" w:themeColor="text1"/>
                <w:sz w:val="18"/>
                <w:szCs w:val="20"/>
              </w:rPr>
            </w:pPr>
            <w:r w:rsidRPr="00B026CE">
              <w:rPr>
                <w:color w:val="000000" w:themeColor="text1"/>
                <w:sz w:val="18"/>
                <w:szCs w:val="20"/>
              </w:rPr>
              <w:t>(ii) bunuri şi servicii</w:t>
            </w:r>
          </w:p>
        </w:tc>
        <w:tc>
          <w:tcPr>
            <w:tcW w:w="567" w:type="dxa"/>
            <w:shd w:val="clear" w:color="auto" w:fill="auto"/>
          </w:tcPr>
          <w:p w14:paraId="35C2339D" w14:textId="5F9496AF" w:rsidR="00615991" w:rsidRPr="00B026CE" w:rsidRDefault="00615991" w:rsidP="00146BB2">
            <w:pPr>
              <w:spacing w:after="60"/>
              <w:jc w:val="center"/>
              <w:rPr>
                <w:color w:val="000000" w:themeColor="text1"/>
                <w:sz w:val="18"/>
                <w:szCs w:val="20"/>
              </w:rPr>
            </w:pPr>
          </w:p>
        </w:tc>
        <w:tc>
          <w:tcPr>
            <w:tcW w:w="723" w:type="dxa"/>
            <w:shd w:val="clear" w:color="auto" w:fill="auto"/>
          </w:tcPr>
          <w:p w14:paraId="7642EF10" w14:textId="62659B27" w:rsidR="00615991" w:rsidRPr="00B026CE" w:rsidRDefault="00615991" w:rsidP="00146BB2">
            <w:pPr>
              <w:spacing w:after="60"/>
              <w:jc w:val="center"/>
              <w:rPr>
                <w:color w:val="000000" w:themeColor="text1"/>
                <w:sz w:val="18"/>
                <w:szCs w:val="20"/>
              </w:rPr>
            </w:pPr>
          </w:p>
        </w:tc>
        <w:tc>
          <w:tcPr>
            <w:tcW w:w="1466" w:type="dxa"/>
            <w:shd w:val="clear" w:color="auto" w:fill="auto"/>
          </w:tcPr>
          <w:p w14:paraId="00DA41A3" w14:textId="6EFE105D" w:rsidR="00615991" w:rsidRPr="00B026CE" w:rsidRDefault="00615991" w:rsidP="00146BB2">
            <w:pPr>
              <w:spacing w:after="60"/>
              <w:jc w:val="center"/>
              <w:rPr>
                <w:color w:val="000000" w:themeColor="text1"/>
                <w:sz w:val="18"/>
                <w:szCs w:val="20"/>
              </w:rPr>
            </w:pPr>
          </w:p>
        </w:tc>
        <w:tc>
          <w:tcPr>
            <w:tcW w:w="1366" w:type="dxa"/>
            <w:shd w:val="clear" w:color="auto" w:fill="auto"/>
          </w:tcPr>
          <w:p w14:paraId="5014B167" w14:textId="23C6C0E3" w:rsidR="00615991" w:rsidRPr="00B026CE" w:rsidRDefault="00615991" w:rsidP="00146BB2">
            <w:pPr>
              <w:spacing w:after="60"/>
              <w:jc w:val="center"/>
              <w:rPr>
                <w:color w:val="000000" w:themeColor="text1"/>
                <w:sz w:val="18"/>
                <w:szCs w:val="20"/>
              </w:rPr>
            </w:pPr>
          </w:p>
        </w:tc>
        <w:tc>
          <w:tcPr>
            <w:tcW w:w="1135" w:type="dxa"/>
            <w:shd w:val="clear" w:color="auto" w:fill="auto"/>
          </w:tcPr>
          <w:p w14:paraId="44E6962F" w14:textId="1AE29D1C" w:rsidR="00615991" w:rsidRPr="00B026CE" w:rsidRDefault="00615991" w:rsidP="00146BB2">
            <w:pPr>
              <w:spacing w:after="60"/>
              <w:jc w:val="center"/>
              <w:rPr>
                <w:color w:val="000000" w:themeColor="text1"/>
                <w:sz w:val="18"/>
                <w:szCs w:val="20"/>
              </w:rPr>
            </w:pPr>
          </w:p>
        </w:tc>
        <w:tc>
          <w:tcPr>
            <w:tcW w:w="1448" w:type="dxa"/>
            <w:shd w:val="clear" w:color="auto" w:fill="auto"/>
          </w:tcPr>
          <w:p w14:paraId="5D1C5F3E" w14:textId="02B1EA15" w:rsidR="00615991" w:rsidRPr="00B026CE" w:rsidRDefault="00615991" w:rsidP="00146BB2">
            <w:pPr>
              <w:spacing w:after="60"/>
              <w:jc w:val="center"/>
              <w:rPr>
                <w:color w:val="000000" w:themeColor="text1"/>
                <w:sz w:val="18"/>
                <w:szCs w:val="20"/>
              </w:rPr>
            </w:pPr>
          </w:p>
        </w:tc>
      </w:tr>
      <w:tr w:rsidR="00FD6A2B" w:rsidRPr="00B026CE" w14:paraId="64A76806" w14:textId="77777777" w:rsidTr="00B026CE">
        <w:tc>
          <w:tcPr>
            <w:tcW w:w="3828" w:type="dxa"/>
          </w:tcPr>
          <w:p w14:paraId="30172BDF" w14:textId="0D2320D4" w:rsidR="00615991" w:rsidRPr="00B026CE" w:rsidRDefault="00615991" w:rsidP="00146BB2">
            <w:pPr>
              <w:spacing w:after="60"/>
              <w:jc w:val="both"/>
              <w:rPr>
                <w:color w:val="000000" w:themeColor="text1"/>
                <w:sz w:val="18"/>
                <w:szCs w:val="20"/>
              </w:rPr>
            </w:pPr>
            <w:r w:rsidRPr="00B026CE">
              <w:rPr>
                <w:color w:val="000000" w:themeColor="text1"/>
                <w:sz w:val="18"/>
                <w:szCs w:val="20"/>
              </w:rPr>
              <w:t>c) bugetul asigurărilor sociale de stat:</w:t>
            </w:r>
          </w:p>
          <w:p w14:paraId="03FADADD" w14:textId="1EB62078" w:rsidR="00615991" w:rsidRPr="00B026CE" w:rsidRDefault="00615991" w:rsidP="00146BB2">
            <w:pPr>
              <w:spacing w:after="60"/>
              <w:jc w:val="both"/>
              <w:rPr>
                <w:color w:val="000000" w:themeColor="text1"/>
                <w:sz w:val="18"/>
                <w:szCs w:val="20"/>
              </w:rPr>
            </w:pPr>
            <w:r w:rsidRPr="00B026CE">
              <w:rPr>
                <w:color w:val="000000" w:themeColor="text1"/>
                <w:sz w:val="18"/>
                <w:szCs w:val="20"/>
              </w:rPr>
              <w:t>(i) cheltuieli de personal</w:t>
            </w:r>
          </w:p>
          <w:p w14:paraId="55656529" w14:textId="757B5B4C" w:rsidR="00615991" w:rsidRPr="00B026CE" w:rsidRDefault="00615991" w:rsidP="00146BB2">
            <w:pPr>
              <w:spacing w:after="60"/>
              <w:jc w:val="both"/>
              <w:rPr>
                <w:color w:val="000000" w:themeColor="text1"/>
                <w:sz w:val="18"/>
                <w:szCs w:val="20"/>
              </w:rPr>
            </w:pPr>
            <w:r w:rsidRPr="00B026CE">
              <w:rPr>
                <w:color w:val="000000" w:themeColor="text1"/>
                <w:sz w:val="18"/>
                <w:szCs w:val="20"/>
              </w:rPr>
              <w:t>(ii) bunuri şi servicii</w:t>
            </w:r>
          </w:p>
        </w:tc>
        <w:tc>
          <w:tcPr>
            <w:tcW w:w="567" w:type="dxa"/>
            <w:shd w:val="clear" w:color="auto" w:fill="auto"/>
          </w:tcPr>
          <w:p w14:paraId="2DE6BAAD" w14:textId="7E6DCFDD" w:rsidR="00615991" w:rsidRPr="00B026CE" w:rsidRDefault="00615991" w:rsidP="00146BB2">
            <w:pPr>
              <w:spacing w:after="60"/>
              <w:jc w:val="center"/>
              <w:rPr>
                <w:color w:val="000000" w:themeColor="text1"/>
                <w:sz w:val="18"/>
                <w:szCs w:val="20"/>
              </w:rPr>
            </w:pPr>
          </w:p>
        </w:tc>
        <w:tc>
          <w:tcPr>
            <w:tcW w:w="723" w:type="dxa"/>
            <w:shd w:val="clear" w:color="auto" w:fill="auto"/>
          </w:tcPr>
          <w:p w14:paraId="07943E17" w14:textId="55CC3FE1" w:rsidR="00615991" w:rsidRPr="00B026CE" w:rsidRDefault="00615991" w:rsidP="00146BB2">
            <w:pPr>
              <w:spacing w:after="60"/>
              <w:jc w:val="center"/>
              <w:rPr>
                <w:color w:val="000000" w:themeColor="text1"/>
                <w:sz w:val="18"/>
                <w:szCs w:val="20"/>
              </w:rPr>
            </w:pPr>
          </w:p>
        </w:tc>
        <w:tc>
          <w:tcPr>
            <w:tcW w:w="1466" w:type="dxa"/>
            <w:shd w:val="clear" w:color="auto" w:fill="auto"/>
          </w:tcPr>
          <w:p w14:paraId="5D1EB785" w14:textId="17BB8F8E" w:rsidR="00615991" w:rsidRPr="00B026CE" w:rsidRDefault="00615991" w:rsidP="00146BB2">
            <w:pPr>
              <w:spacing w:after="60"/>
              <w:jc w:val="center"/>
              <w:rPr>
                <w:color w:val="000000" w:themeColor="text1"/>
                <w:sz w:val="18"/>
                <w:szCs w:val="20"/>
              </w:rPr>
            </w:pPr>
          </w:p>
        </w:tc>
        <w:tc>
          <w:tcPr>
            <w:tcW w:w="1366" w:type="dxa"/>
            <w:shd w:val="clear" w:color="auto" w:fill="auto"/>
          </w:tcPr>
          <w:p w14:paraId="7E7347DF" w14:textId="117EF4E2" w:rsidR="00615991" w:rsidRPr="00B026CE" w:rsidRDefault="00615991" w:rsidP="00146BB2">
            <w:pPr>
              <w:spacing w:after="60"/>
              <w:jc w:val="center"/>
              <w:rPr>
                <w:color w:val="000000" w:themeColor="text1"/>
                <w:sz w:val="18"/>
                <w:szCs w:val="20"/>
              </w:rPr>
            </w:pPr>
          </w:p>
        </w:tc>
        <w:tc>
          <w:tcPr>
            <w:tcW w:w="1135" w:type="dxa"/>
            <w:shd w:val="clear" w:color="auto" w:fill="auto"/>
          </w:tcPr>
          <w:p w14:paraId="27993F0F" w14:textId="4E8541B7" w:rsidR="00615991" w:rsidRPr="00B026CE" w:rsidRDefault="00615991" w:rsidP="00146BB2">
            <w:pPr>
              <w:spacing w:after="60"/>
              <w:jc w:val="center"/>
              <w:rPr>
                <w:color w:val="000000" w:themeColor="text1"/>
                <w:sz w:val="18"/>
                <w:szCs w:val="20"/>
              </w:rPr>
            </w:pPr>
          </w:p>
        </w:tc>
        <w:tc>
          <w:tcPr>
            <w:tcW w:w="1448" w:type="dxa"/>
            <w:shd w:val="clear" w:color="auto" w:fill="auto"/>
          </w:tcPr>
          <w:p w14:paraId="3D14DE78" w14:textId="6936EB7C" w:rsidR="00615991" w:rsidRPr="00B026CE" w:rsidRDefault="00615991" w:rsidP="00146BB2">
            <w:pPr>
              <w:spacing w:after="60"/>
              <w:jc w:val="center"/>
              <w:rPr>
                <w:color w:val="000000" w:themeColor="text1"/>
                <w:sz w:val="18"/>
                <w:szCs w:val="20"/>
              </w:rPr>
            </w:pPr>
          </w:p>
        </w:tc>
      </w:tr>
      <w:tr w:rsidR="00FD6A2B" w:rsidRPr="00B026CE" w14:paraId="5C3A403A" w14:textId="77777777" w:rsidTr="00B026CE">
        <w:tc>
          <w:tcPr>
            <w:tcW w:w="3828" w:type="dxa"/>
          </w:tcPr>
          <w:p w14:paraId="3BF8A849" w14:textId="176DF995" w:rsidR="00615991" w:rsidRPr="00B026CE" w:rsidRDefault="00615991" w:rsidP="00146BB2">
            <w:pPr>
              <w:spacing w:after="60"/>
              <w:jc w:val="both"/>
              <w:rPr>
                <w:color w:val="000000" w:themeColor="text1"/>
                <w:sz w:val="18"/>
                <w:szCs w:val="20"/>
              </w:rPr>
            </w:pPr>
            <w:r w:rsidRPr="00B026CE">
              <w:rPr>
                <w:color w:val="000000" w:themeColor="text1"/>
                <w:sz w:val="18"/>
                <w:szCs w:val="20"/>
              </w:rPr>
              <w:t>d) alte tipuri de cheltuieli</w:t>
            </w:r>
          </w:p>
          <w:p w14:paraId="359EE9C4" w14:textId="460D5A0D" w:rsidR="00615991" w:rsidRPr="00B026CE" w:rsidRDefault="00615991">
            <w:pPr>
              <w:spacing w:after="60"/>
              <w:jc w:val="both"/>
              <w:rPr>
                <w:color w:val="000000" w:themeColor="text1"/>
                <w:sz w:val="18"/>
                <w:szCs w:val="20"/>
              </w:rPr>
            </w:pPr>
          </w:p>
        </w:tc>
        <w:tc>
          <w:tcPr>
            <w:tcW w:w="567" w:type="dxa"/>
            <w:shd w:val="clear" w:color="auto" w:fill="auto"/>
          </w:tcPr>
          <w:p w14:paraId="2C7AC338" w14:textId="7AF4E45C" w:rsidR="00615991" w:rsidRPr="00B026CE" w:rsidRDefault="00615991" w:rsidP="00146BB2">
            <w:pPr>
              <w:spacing w:after="60"/>
              <w:jc w:val="center"/>
              <w:rPr>
                <w:color w:val="000000" w:themeColor="text1"/>
                <w:sz w:val="18"/>
                <w:szCs w:val="20"/>
              </w:rPr>
            </w:pPr>
          </w:p>
        </w:tc>
        <w:tc>
          <w:tcPr>
            <w:tcW w:w="723" w:type="dxa"/>
            <w:shd w:val="clear" w:color="auto" w:fill="auto"/>
          </w:tcPr>
          <w:p w14:paraId="7CA00BF7" w14:textId="1FE9A857" w:rsidR="00615991" w:rsidRPr="00B026CE" w:rsidRDefault="00615991" w:rsidP="00146BB2">
            <w:pPr>
              <w:spacing w:after="60"/>
              <w:jc w:val="center"/>
              <w:rPr>
                <w:color w:val="000000" w:themeColor="text1"/>
                <w:sz w:val="18"/>
                <w:szCs w:val="20"/>
              </w:rPr>
            </w:pPr>
          </w:p>
        </w:tc>
        <w:tc>
          <w:tcPr>
            <w:tcW w:w="1466" w:type="dxa"/>
            <w:shd w:val="clear" w:color="auto" w:fill="auto"/>
          </w:tcPr>
          <w:p w14:paraId="22F7EDA8" w14:textId="61EBE274" w:rsidR="00615991" w:rsidRPr="00B026CE" w:rsidRDefault="00615991" w:rsidP="00146BB2">
            <w:pPr>
              <w:spacing w:after="60"/>
              <w:jc w:val="center"/>
              <w:rPr>
                <w:color w:val="000000" w:themeColor="text1"/>
                <w:sz w:val="18"/>
                <w:szCs w:val="20"/>
              </w:rPr>
            </w:pPr>
          </w:p>
        </w:tc>
        <w:tc>
          <w:tcPr>
            <w:tcW w:w="1366" w:type="dxa"/>
            <w:shd w:val="clear" w:color="auto" w:fill="auto"/>
          </w:tcPr>
          <w:p w14:paraId="1C65014D" w14:textId="315B559B" w:rsidR="00615991" w:rsidRPr="00B026CE" w:rsidRDefault="00615991" w:rsidP="00146BB2">
            <w:pPr>
              <w:spacing w:after="60"/>
              <w:jc w:val="center"/>
              <w:rPr>
                <w:color w:val="000000" w:themeColor="text1"/>
                <w:sz w:val="18"/>
                <w:szCs w:val="20"/>
              </w:rPr>
            </w:pPr>
          </w:p>
        </w:tc>
        <w:tc>
          <w:tcPr>
            <w:tcW w:w="1135" w:type="dxa"/>
            <w:shd w:val="clear" w:color="auto" w:fill="auto"/>
          </w:tcPr>
          <w:p w14:paraId="69EFB472" w14:textId="17EFF081" w:rsidR="00615991" w:rsidRPr="00B026CE" w:rsidRDefault="00615991" w:rsidP="00146BB2">
            <w:pPr>
              <w:spacing w:after="60"/>
              <w:jc w:val="center"/>
              <w:rPr>
                <w:color w:val="000000" w:themeColor="text1"/>
                <w:sz w:val="18"/>
                <w:szCs w:val="20"/>
              </w:rPr>
            </w:pPr>
          </w:p>
        </w:tc>
        <w:tc>
          <w:tcPr>
            <w:tcW w:w="1448" w:type="dxa"/>
            <w:shd w:val="clear" w:color="auto" w:fill="auto"/>
          </w:tcPr>
          <w:p w14:paraId="2BEA7293" w14:textId="6AEA4C7E" w:rsidR="00615991" w:rsidRPr="00B026CE" w:rsidRDefault="00615991" w:rsidP="00146BB2">
            <w:pPr>
              <w:spacing w:after="60"/>
              <w:jc w:val="center"/>
              <w:rPr>
                <w:color w:val="000000" w:themeColor="text1"/>
                <w:sz w:val="18"/>
                <w:szCs w:val="20"/>
              </w:rPr>
            </w:pPr>
          </w:p>
        </w:tc>
      </w:tr>
      <w:tr w:rsidR="00FD6A2B" w:rsidRPr="00B026CE" w14:paraId="6E9F3798" w14:textId="77777777" w:rsidTr="00B026CE">
        <w:tc>
          <w:tcPr>
            <w:tcW w:w="3828" w:type="dxa"/>
          </w:tcPr>
          <w:p w14:paraId="1C49C2EC" w14:textId="77777777" w:rsidR="00615991" w:rsidRPr="00B026CE" w:rsidRDefault="00615991" w:rsidP="00146BB2">
            <w:pPr>
              <w:spacing w:after="60"/>
              <w:jc w:val="both"/>
              <w:rPr>
                <w:b/>
                <w:bCs/>
                <w:color w:val="000000" w:themeColor="text1"/>
                <w:sz w:val="18"/>
                <w:szCs w:val="20"/>
              </w:rPr>
            </w:pPr>
            <w:r w:rsidRPr="00B026CE">
              <w:rPr>
                <w:b/>
                <w:bCs/>
                <w:color w:val="000000" w:themeColor="text1"/>
                <w:sz w:val="18"/>
                <w:szCs w:val="20"/>
              </w:rPr>
              <w:t>4.3. Impact financiar, plus/minus, din care:</w:t>
            </w:r>
          </w:p>
          <w:p w14:paraId="656BFCEC" w14:textId="54C7982C" w:rsidR="00615991" w:rsidRPr="00B026CE" w:rsidRDefault="00615991" w:rsidP="00146BB2">
            <w:pPr>
              <w:spacing w:after="60"/>
              <w:jc w:val="both"/>
              <w:rPr>
                <w:color w:val="000000" w:themeColor="text1"/>
                <w:sz w:val="18"/>
                <w:szCs w:val="20"/>
              </w:rPr>
            </w:pPr>
            <w:r w:rsidRPr="00B026CE">
              <w:rPr>
                <w:color w:val="000000" w:themeColor="text1"/>
                <w:sz w:val="18"/>
                <w:szCs w:val="20"/>
              </w:rPr>
              <w:t>a) buget de stat</w:t>
            </w:r>
          </w:p>
        </w:tc>
        <w:tc>
          <w:tcPr>
            <w:tcW w:w="567" w:type="dxa"/>
            <w:shd w:val="clear" w:color="auto" w:fill="auto"/>
          </w:tcPr>
          <w:p w14:paraId="7AD2D601" w14:textId="092F255A" w:rsidR="00615991" w:rsidRPr="00B026CE" w:rsidRDefault="00615991" w:rsidP="00146BB2">
            <w:pPr>
              <w:spacing w:after="60"/>
              <w:jc w:val="center"/>
              <w:rPr>
                <w:color w:val="000000" w:themeColor="text1"/>
                <w:sz w:val="18"/>
                <w:szCs w:val="20"/>
              </w:rPr>
            </w:pPr>
          </w:p>
        </w:tc>
        <w:tc>
          <w:tcPr>
            <w:tcW w:w="723" w:type="dxa"/>
            <w:shd w:val="clear" w:color="auto" w:fill="auto"/>
          </w:tcPr>
          <w:p w14:paraId="0568D044" w14:textId="396C4210" w:rsidR="00615991" w:rsidRPr="00B026CE" w:rsidRDefault="00615991" w:rsidP="00146BB2">
            <w:pPr>
              <w:spacing w:after="60"/>
              <w:jc w:val="center"/>
              <w:rPr>
                <w:color w:val="000000" w:themeColor="text1"/>
                <w:sz w:val="18"/>
                <w:szCs w:val="20"/>
              </w:rPr>
            </w:pPr>
          </w:p>
        </w:tc>
        <w:tc>
          <w:tcPr>
            <w:tcW w:w="1466" w:type="dxa"/>
            <w:shd w:val="clear" w:color="auto" w:fill="auto"/>
          </w:tcPr>
          <w:p w14:paraId="210A6366" w14:textId="42D67C53" w:rsidR="00615991" w:rsidRPr="00B026CE" w:rsidRDefault="00615991" w:rsidP="00146BB2">
            <w:pPr>
              <w:spacing w:after="60"/>
              <w:jc w:val="center"/>
              <w:rPr>
                <w:color w:val="000000" w:themeColor="text1"/>
                <w:sz w:val="18"/>
                <w:szCs w:val="20"/>
              </w:rPr>
            </w:pPr>
          </w:p>
        </w:tc>
        <w:tc>
          <w:tcPr>
            <w:tcW w:w="1366" w:type="dxa"/>
            <w:shd w:val="clear" w:color="auto" w:fill="auto"/>
          </w:tcPr>
          <w:p w14:paraId="2693F75B" w14:textId="7456D92D" w:rsidR="00615991" w:rsidRPr="00B026CE" w:rsidRDefault="00615991" w:rsidP="00146BB2">
            <w:pPr>
              <w:spacing w:after="60"/>
              <w:jc w:val="center"/>
              <w:rPr>
                <w:color w:val="000000" w:themeColor="text1"/>
                <w:sz w:val="18"/>
                <w:szCs w:val="20"/>
              </w:rPr>
            </w:pPr>
          </w:p>
        </w:tc>
        <w:tc>
          <w:tcPr>
            <w:tcW w:w="1135" w:type="dxa"/>
            <w:shd w:val="clear" w:color="auto" w:fill="auto"/>
          </w:tcPr>
          <w:p w14:paraId="1585137C" w14:textId="59C84DA0" w:rsidR="00615991" w:rsidRPr="00B026CE" w:rsidRDefault="00615991" w:rsidP="00146BB2">
            <w:pPr>
              <w:spacing w:after="60"/>
              <w:jc w:val="center"/>
              <w:rPr>
                <w:color w:val="000000" w:themeColor="text1"/>
                <w:sz w:val="18"/>
                <w:szCs w:val="20"/>
              </w:rPr>
            </w:pPr>
          </w:p>
        </w:tc>
        <w:tc>
          <w:tcPr>
            <w:tcW w:w="1448" w:type="dxa"/>
            <w:shd w:val="clear" w:color="auto" w:fill="auto"/>
          </w:tcPr>
          <w:p w14:paraId="2D494315" w14:textId="27935248" w:rsidR="00615991" w:rsidRPr="00B026CE" w:rsidRDefault="00615991" w:rsidP="00146BB2">
            <w:pPr>
              <w:spacing w:after="60"/>
              <w:jc w:val="center"/>
              <w:rPr>
                <w:color w:val="000000" w:themeColor="text1"/>
                <w:sz w:val="18"/>
                <w:szCs w:val="20"/>
              </w:rPr>
            </w:pPr>
          </w:p>
        </w:tc>
      </w:tr>
      <w:tr w:rsidR="00FD6A2B" w:rsidRPr="00B026CE" w14:paraId="3177FEF7" w14:textId="77777777" w:rsidTr="00B026CE">
        <w:tc>
          <w:tcPr>
            <w:tcW w:w="3828" w:type="dxa"/>
          </w:tcPr>
          <w:p w14:paraId="33908C4A" w14:textId="118E34DE" w:rsidR="00615991" w:rsidRPr="00B026CE" w:rsidRDefault="00615991" w:rsidP="00146BB2">
            <w:pPr>
              <w:spacing w:after="60"/>
              <w:jc w:val="both"/>
              <w:rPr>
                <w:color w:val="000000" w:themeColor="text1"/>
                <w:sz w:val="18"/>
                <w:szCs w:val="20"/>
              </w:rPr>
            </w:pPr>
            <w:r w:rsidRPr="00B026CE">
              <w:rPr>
                <w:color w:val="000000" w:themeColor="text1"/>
                <w:sz w:val="18"/>
                <w:szCs w:val="20"/>
              </w:rPr>
              <w:t>b) bugete locale</w:t>
            </w:r>
          </w:p>
        </w:tc>
        <w:tc>
          <w:tcPr>
            <w:tcW w:w="567" w:type="dxa"/>
            <w:shd w:val="clear" w:color="auto" w:fill="auto"/>
          </w:tcPr>
          <w:p w14:paraId="4B62CC0C" w14:textId="3985707D" w:rsidR="00615991" w:rsidRPr="00B026CE" w:rsidRDefault="00615991" w:rsidP="00146BB2">
            <w:pPr>
              <w:spacing w:after="60"/>
              <w:jc w:val="center"/>
              <w:rPr>
                <w:color w:val="000000" w:themeColor="text1"/>
                <w:sz w:val="18"/>
                <w:szCs w:val="20"/>
              </w:rPr>
            </w:pPr>
          </w:p>
        </w:tc>
        <w:tc>
          <w:tcPr>
            <w:tcW w:w="723" w:type="dxa"/>
            <w:shd w:val="clear" w:color="auto" w:fill="auto"/>
          </w:tcPr>
          <w:p w14:paraId="283AC80B" w14:textId="4F3948D8" w:rsidR="00615991" w:rsidRPr="00B026CE" w:rsidRDefault="00615991" w:rsidP="00146BB2">
            <w:pPr>
              <w:spacing w:after="60"/>
              <w:jc w:val="center"/>
              <w:rPr>
                <w:color w:val="000000" w:themeColor="text1"/>
                <w:sz w:val="18"/>
                <w:szCs w:val="20"/>
              </w:rPr>
            </w:pPr>
          </w:p>
        </w:tc>
        <w:tc>
          <w:tcPr>
            <w:tcW w:w="1466" w:type="dxa"/>
            <w:shd w:val="clear" w:color="auto" w:fill="auto"/>
          </w:tcPr>
          <w:p w14:paraId="7219261C" w14:textId="63AC73B6" w:rsidR="00615991" w:rsidRPr="00B026CE" w:rsidRDefault="00615991" w:rsidP="00146BB2">
            <w:pPr>
              <w:spacing w:after="60"/>
              <w:jc w:val="center"/>
              <w:rPr>
                <w:color w:val="000000" w:themeColor="text1"/>
                <w:sz w:val="18"/>
                <w:szCs w:val="20"/>
              </w:rPr>
            </w:pPr>
          </w:p>
        </w:tc>
        <w:tc>
          <w:tcPr>
            <w:tcW w:w="1366" w:type="dxa"/>
            <w:shd w:val="clear" w:color="auto" w:fill="auto"/>
          </w:tcPr>
          <w:p w14:paraId="49D7F163" w14:textId="69E006E0" w:rsidR="00615991" w:rsidRPr="00B026CE" w:rsidRDefault="00615991" w:rsidP="00146BB2">
            <w:pPr>
              <w:spacing w:after="60"/>
              <w:jc w:val="center"/>
              <w:rPr>
                <w:color w:val="000000" w:themeColor="text1"/>
                <w:sz w:val="18"/>
                <w:szCs w:val="20"/>
              </w:rPr>
            </w:pPr>
          </w:p>
        </w:tc>
        <w:tc>
          <w:tcPr>
            <w:tcW w:w="1135" w:type="dxa"/>
            <w:shd w:val="clear" w:color="auto" w:fill="auto"/>
          </w:tcPr>
          <w:p w14:paraId="7C544E7C" w14:textId="52749F95" w:rsidR="00615991" w:rsidRPr="00B026CE" w:rsidRDefault="00615991" w:rsidP="00146BB2">
            <w:pPr>
              <w:spacing w:after="60"/>
              <w:jc w:val="center"/>
              <w:rPr>
                <w:color w:val="000000" w:themeColor="text1"/>
                <w:sz w:val="18"/>
                <w:szCs w:val="20"/>
              </w:rPr>
            </w:pPr>
          </w:p>
        </w:tc>
        <w:tc>
          <w:tcPr>
            <w:tcW w:w="1448" w:type="dxa"/>
            <w:shd w:val="clear" w:color="auto" w:fill="auto"/>
          </w:tcPr>
          <w:p w14:paraId="4953DDFD" w14:textId="5F1AF9A8" w:rsidR="00615991" w:rsidRPr="00B026CE" w:rsidRDefault="00615991" w:rsidP="00146BB2">
            <w:pPr>
              <w:spacing w:after="60"/>
              <w:jc w:val="center"/>
              <w:rPr>
                <w:color w:val="000000" w:themeColor="text1"/>
                <w:sz w:val="18"/>
                <w:szCs w:val="20"/>
              </w:rPr>
            </w:pPr>
          </w:p>
        </w:tc>
      </w:tr>
      <w:tr w:rsidR="00FD6A2B" w:rsidRPr="00B026CE" w14:paraId="4B985901" w14:textId="77777777" w:rsidTr="00B026CE">
        <w:tc>
          <w:tcPr>
            <w:tcW w:w="3828" w:type="dxa"/>
          </w:tcPr>
          <w:p w14:paraId="41F94191" w14:textId="4D675AF2" w:rsidR="00615991" w:rsidRPr="00B026CE" w:rsidRDefault="00615991" w:rsidP="00146BB2">
            <w:pPr>
              <w:spacing w:after="60"/>
              <w:jc w:val="both"/>
              <w:rPr>
                <w:b/>
                <w:bCs/>
                <w:color w:val="000000" w:themeColor="text1"/>
                <w:sz w:val="18"/>
                <w:szCs w:val="20"/>
              </w:rPr>
            </w:pPr>
            <w:r w:rsidRPr="00B026CE">
              <w:rPr>
                <w:b/>
                <w:bCs/>
                <w:color w:val="000000" w:themeColor="text1"/>
                <w:sz w:val="18"/>
                <w:szCs w:val="20"/>
              </w:rPr>
              <w:t>4.4. Propuneri pentru acoperirea creşterii cheltuielilor bugetare</w:t>
            </w:r>
          </w:p>
        </w:tc>
        <w:tc>
          <w:tcPr>
            <w:tcW w:w="567" w:type="dxa"/>
            <w:shd w:val="clear" w:color="auto" w:fill="auto"/>
          </w:tcPr>
          <w:p w14:paraId="12553E7B" w14:textId="28E89CC4" w:rsidR="00615991" w:rsidRPr="00B026CE" w:rsidRDefault="00615991" w:rsidP="00146BB2">
            <w:pPr>
              <w:spacing w:after="60"/>
              <w:jc w:val="center"/>
              <w:rPr>
                <w:color w:val="000000" w:themeColor="text1"/>
                <w:sz w:val="18"/>
                <w:szCs w:val="20"/>
              </w:rPr>
            </w:pPr>
          </w:p>
        </w:tc>
        <w:tc>
          <w:tcPr>
            <w:tcW w:w="723" w:type="dxa"/>
            <w:shd w:val="clear" w:color="auto" w:fill="auto"/>
          </w:tcPr>
          <w:p w14:paraId="6B4AB040" w14:textId="7ED2D2E8" w:rsidR="00615991" w:rsidRPr="00B026CE" w:rsidRDefault="00615991" w:rsidP="00146BB2">
            <w:pPr>
              <w:spacing w:after="60"/>
              <w:jc w:val="center"/>
              <w:rPr>
                <w:color w:val="000000" w:themeColor="text1"/>
                <w:sz w:val="18"/>
                <w:szCs w:val="20"/>
              </w:rPr>
            </w:pPr>
          </w:p>
        </w:tc>
        <w:tc>
          <w:tcPr>
            <w:tcW w:w="1466" w:type="dxa"/>
            <w:shd w:val="clear" w:color="auto" w:fill="auto"/>
          </w:tcPr>
          <w:p w14:paraId="2B58709A" w14:textId="78F207F6" w:rsidR="00615991" w:rsidRPr="00B026CE" w:rsidRDefault="00615991" w:rsidP="00146BB2">
            <w:pPr>
              <w:spacing w:after="60"/>
              <w:jc w:val="center"/>
              <w:rPr>
                <w:color w:val="000000" w:themeColor="text1"/>
                <w:sz w:val="18"/>
                <w:szCs w:val="20"/>
              </w:rPr>
            </w:pPr>
          </w:p>
        </w:tc>
        <w:tc>
          <w:tcPr>
            <w:tcW w:w="1366" w:type="dxa"/>
            <w:shd w:val="clear" w:color="auto" w:fill="auto"/>
          </w:tcPr>
          <w:p w14:paraId="7AE48667" w14:textId="782867F8" w:rsidR="00615991" w:rsidRPr="00B026CE" w:rsidRDefault="00615991" w:rsidP="00146BB2">
            <w:pPr>
              <w:spacing w:after="60"/>
              <w:jc w:val="center"/>
              <w:rPr>
                <w:color w:val="000000" w:themeColor="text1"/>
                <w:sz w:val="18"/>
                <w:szCs w:val="20"/>
              </w:rPr>
            </w:pPr>
          </w:p>
        </w:tc>
        <w:tc>
          <w:tcPr>
            <w:tcW w:w="1135" w:type="dxa"/>
            <w:shd w:val="clear" w:color="auto" w:fill="auto"/>
          </w:tcPr>
          <w:p w14:paraId="2C05220B" w14:textId="41297BD2" w:rsidR="00615991" w:rsidRPr="00B026CE" w:rsidRDefault="00615991" w:rsidP="00146BB2">
            <w:pPr>
              <w:spacing w:after="60"/>
              <w:jc w:val="center"/>
              <w:rPr>
                <w:color w:val="000000" w:themeColor="text1"/>
                <w:sz w:val="18"/>
                <w:szCs w:val="20"/>
              </w:rPr>
            </w:pPr>
          </w:p>
        </w:tc>
        <w:tc>
          <w:tcPr>
            <w:tcW w:w="1448" w:type="dxa"/>
            <w:shd w:val="clear" w:color="auto" w:fill="auto"/>
          </w:tcPr>
          <w:p w14:paraId="5BF7C6F4" w14:textId="6F800253" w:rsidR="00615991" w:rsidRPr="00B026CE" w:rsidRDefault="00615991" w:rsidP="00146BB2">
            <w:pPr>
              <w:spacing w:after="60"/>
              <w:jc w:val="center"/>
              <w:rPr>
                <w:color w:val="000000" w:themeColor="text1"/>
                <w:sz w:val="18"/>
                <w:szCs w:val="20"/>
              </w:rPr>
            </w:pPr>
          </w:p>
        </w:tc>
      </w:tr>
      <w:tr w:rsidR="00FD6A2B" w:rsidRPr="00B026CE" w14:paraId="0936FEC1" w14:textId="77777777" w:rsidTr="00B026CE">
        <w:tc>
          <w:tcPr>
            <w:tcW w:w="3828" w:type="dxa"/>
          </w:tcPr>
          <w:p w14:paraId="31602873" w14:textId="19763228" w:rsidR="00615991" w:rsidRPr="00B026CE" w:rsidRDefault="00615991" w:rsidP="00146BB2">
            <w:pPr>
              <w:spacing w:after="60"/>
              <w:jc w:val="both"/>
              <w:rPr>
                <w:b/>
                <w:bCs/>
                <w:color w:val="000000" w:themeColor="text1"/>
                <w:sz w:val="18"/>
                <w:szCs w:val="20"/>
              </w:rPr>
            </w:pPr>
            <w:r w:rsidRPr="00B026CE">
              <w:rPr>
                <w:b/>
                <w:bCs/>
                <w:color w:val="000000" w:themeColor="text1"/>
                <w:sz w:val="18"/>
                <w:szCs w:val="20"/>
              </w:rPr>
              <w:t>4.5. Propuneri pentru a compensa reducerea veniturilor bugetare</w:t>
            </w:r>
          </w:p>
        </w:tc>
        <w:tc>
          <w:tcPr>
            <w:tcW w:w="567" w:type="dxa"/>
            <w:shd w:val="clear" w:color="auto" w:fill="auto"/>
          </w:tcPr>
          <w:p w14:paraId="50FCA196" w14:textId="1CE61E98" w:rsidR="00615991" w:rsidRPr="00B026CE" w:rsidRDefault="00615991" w:rsidP="00146BB2">
            <w:pPr>
              <w:spacing w:after="60"/>
              <w:jc w:val="center"/>
              <w:rPr>
                <w:color w:val="000000" w:themeColor="text1"/>
                <w:sz w:val="18"/>
                <w:szCs w:val="20"/>
              </w:rPr>
            </w:pPr>
          </w:p>
        </w:tc>
        <w:tc>
          <w:tcPr>
            <w:tcW w:w="723" w:type="dxa"/>
            <w:shd w:val="clear" w:color="auto" w:fill="auto"/>
          </w:tcPr>
          <w:p w14:paraId="06CFE138" w14:textId="43306B2F" w:rsidR="00615991" w:rsidRPr="00B026CE" w:rsidRDefault="00615991" w:rsidP="00146BB2">
            <w:pPr>
              <w:spacing w:after="60"/>
              <w:jc w:val="center"/>
              <w:rPr>
                <w:color w:val="000000" w:themeColor="text1"/>
                <w:sz w:val="18"/>
                <w:szCs w:val="20"/>
              </w:rPr>
            </w:pPr>
          </w:p>
        </w:tc>
        <w:tc>
          <w:tcPr>
            <w:tcW w:w="1466" w:type="dxa"/>
            <w:shd w:val="clear" w:color="auto" w:fill="auto"/>
          </w:tcPr>
          <w:p w14:paraId="6FFFE022" w14:textId="338CCC3B" w:rsidR="00615991" w:rsidRPr="00B026CE" w:rsidRDefault="00615991" w:rsidP="00146BB2">
            <w:pPr>
              <w:spacing w:after="60"/>
              <w:jc w:val="center"/>
              <w:rPr>
                <w:color w:val="000000" w:themeColor="text1"/>
                <w:sz w:val="18"/>
                <w:szCs w:val="20"/>
              </w:rPr>
            </w:pPr>
          </w:p>
        </w:tc>
        <w:tc>
          <w:tcPr>
            <w:tcW w:w="1366" w:type="dxa"/>
            <w:shd w:val="clear" w:color="auto" w:fill="auto"/>
          </w:tcPr>
          <w:p w14:paraId="46465A6F" w14:textId="3B83CB53" w:rsidR="00615991" w:rsidRPr="00B026CE" w:rsidRDefault="00615991" w:rsidP="00146BB2">
            <w:pPr>
              <w:spacing w:after="60"/>
              <w:jc w:val="center"/>
              <w:rPr>
                <w:color w:val="000000" w:themeColor="text1"/>
                <w:sz w:val="18"/>
                <w:szCs w:val="20"/>
              </w:rPr>
            </w:pPr>
          </w:p>
        </w:tc>
        <w:tc>
          <w:tcPr>
            <w:tcW w:w="1135" w:type="dxa"/>
            <w:shd w:val="clear" w:color="auto" w:fill="auto"/>
          </w:tcPr>
          <w:p w14:paraId="14082553" w14:textId="4A1C0B77" w:rsidR="00615991" w:rsidRPr="00B026CE" w:rsidRDefault="00615991" w:rsidP="00146BB2">
            <w:pPr>
              <w:spacing w:after="60"/>
              <w:jc w:val="center"/>
              <w:rPr>
                <w:color w:val="000000" w:themeColor="text1"/>
                <w:sz w:val="18"/>
                <w:szCs w:val="20"/>
              </w:rPr>
            </w:pPr>
          </w:p>
        </w:tc>
        <w:tc>
          <w:tcPr>
            <w:tcW w:w="1448" w:type="dxa"/>
            <w:shd w:val="clear" w:color="auto" w:fill="auto"/>
          </w:tcPr>
          <w:p w14:paraId="178CA231" w14:textId="30F0A5AE" w:rsidR="00615991" w:rsidRPr="00B026CE" w:rsidRDefault="00615991" w:rsidP="00146BB2">
            <w:pPr>
              <w:spacing w:after="60"/>
              <w:jc w:val="center"/>
              <w:rPr>
                <w:color w:val="000000" w:themeColor="text1"/>
                <w:sz w:val="18"/>
                <w:szCs w:val="20"/>
              </w:rPr>
            </w:pPr>
          </w:p>
        </w:tc>
      </w:tr>
      <w:tr w:rsidR="00FD6A2B" w:rsidRPr="00B026CE" w14:paraId="153D0F09" w14:textId="77777777" w:rsidTr="00B026CE">
        <w:tc>
          <w:tcPr>
            <w:tcW w:w="3828" w:type="dxa"/>
          </w:tcPr>
          <w:p w14:paraId="4E7FCDBB" w14:textId="336B0E28" w:rsidR="00615991" w:rsidRPr="00B026CE" w:rsidRDefault="00615991" w:rsidP="00146BB2">
            <w:pPr>
              <w:spacing w:after="60"/>
              <w:jc w:val="both"/>
              <w:rPr>
                <w:b/>
                <w:bCs/>
                <w:color w:val="000000" w:themeColor="text1"/>
                <w:sz w:val="18"/>
                <w:szCs w:val="20"/>
              </w:rPr>
            </w:pPr>
            <w:r w:rsidRPr="00B026CE">
              <w:rPr>
                <w:b/>
                <w:bCs/>
                <w:color w:val="000000" w:themeColor="text1"/>
                <w:sz w:val="18"/>
                <w:szCs w:val="20"/>
              </w:rPr>
              <w:t>4.6. Calcule detaliate privind fundamentarea modificărilor  veniturilor şi/sau cheltuielilor bugetare</w:t>
            </w:r>
          </w:p>
        </w:tc>
        <w:tc>
          <w:tcPr>
            <w:tcW w:w="567" w:type="dxa"/>
            <w:shd w:val="clear" w:color="auto" w:fill="auto"/>
          </w:tcPr>
          <w:p w14:paraId="18046DC1" w14:textId="1B10C8B3" w:rsidR="00615991" w:rsidRPr="00B026CE" w:rsidRDefault="00615991" w:rsidP="00146BB2">
            <w:pPr>
              <w:spacing w:after="60"/>
              <w:jc w:val="center"/>
              <w:rPr>
                <w:color w:val="000000" w:themeColor="text1"/>
                <w:sz w:val="18"/>
                <w:szCs w:val="20"/>
              </w:rPr>
            </w:pPr>
          </w:p>
        </w:tc>
        <w:tc>
          <w:tcPr>
            <w:tcW w:w="723" w:type="dxa"/>
            <w:shd w:val="clear" w:color="auto" w:fill="auto"/>
          </w:tcPr>
          <w:p w14:paraId="7CF35163" w14:textId="6DF02F40" w:rsidR="00615991" w:rsidRPr="00B026CE" w:rsidRDefault="00615991" w:rsidP="00146BB2">
            <w:pPr>
              <w:spacing w:after="60"/>
              <w:jc w:val="center"/>
              <w:rPr>
                <w:color w:val="000000" w:themeColor="text1"/>
                <w:sz w:val="18"/>
                <w:szCs w:val="20"/>
              </w:rPr>
            </w:pPr>
          </w:p>
        </w:tc>
        <w:tc>
          <w:tcPr>
            <w:tcW w:w="1466" w:type="dxa"/>
            <w:shd w:val="clear" w:color="auto" w:fill="auto"/>
          </w:tcPr>
          <w:p w14:paraId="1D863FB9" w14:textId="32519B3E" w:rsidR="00615991" w:rsidRPr="00B026CE" w:rsidRDefault="00615991" w:rsidP="00146BB2">
            <w:pPr>
              <w:spacing w:after="60"/>
              <w:jc w:val="center"/>
              <w:rPr>
                <w:color w:val="000000" w:themeColor="text1"/>
                <w:sz w:val="18"/>
                <w:szCs w:val="20"/>
              </w:rPr>
            </w:pPr>
          </w:p>
        </w:tc>
        <w:tc>
          <w:tcPr>
            <w:tcW w:w="1366" w:type="dxa"/>
            <w:shd w:val="clear" w:color="auto" w:fill="auto"/>
          </w:tcPr>
          <w:p w14:paraId="42476051" w14:textId="7FBD7010" w:rsidR="00615991" w:rsidRPr="00B026CE" w:rsidRDefault="00615991" w:rsidP="00146BB2">
            <w:pPr>
              <w:spacing w:after="60"/>
              <w:jc w:val="center"/>
              <w:rPr>
                <w:color w:val="000000" w:themeColor="text1"/>
                <w:sz w:val="18"/>
                <w:szCs w:val="20"/>
              </w:rPr>
            </w:pPr>
          </w:p>
        </w:tc>
        <w:tc>
          <w:tcPr>
            <w:tcW w:w="1135" w:type="dxa"/>
            <w:shd w:val="clear" w:color="auto" w:fill="auto"/>
          </w:tcPr>
          <w:p w14:paraId="4746E189" w14:textId="21810E26" w:rsidR="00615991" w:rsidRPr="00B026CE" w:rsidRDefault="00615991" w:rsidP="00146BB2">
            <w:pPr>
              <w:spacing w:after="60"/>
              <w:jc w:val="center"/>
              <w:rPr>
                <w:color w:val="000000" w:themeColor="text1"/>
                <w:sz w:val="18"/>
                <w:szCs w:val="20"/>
              </w:rPr>
            </w:pPr>
          </w:p>
        </w:tc>
        <w:tc>
          <w:tcPr>
            <w:tcW w:w="1448" w:type="dxa"/>
            <w:shd w:val="clear" w:color="auto" w:fill="auto"/>
          </w:tcPr>
          <w:p w14:paraId="05472402" w14:textId="6F0896DA" w:rsidR="00615991" w:rsidRPr="00B026CE" w:rsidRDefault="00615991" w:rsidP="00146BB2">
            <w:pPr>
              <w:spacing w:after="60"/>
              <w:jc w:val="center"/>
              <w:rPr>
                <w:color w:val="000000" w:themeColor="text1"/>
                <w:sz w:val="18"/>
                <w:szCs w:val="20"/>
              </w:rPr>
            </w:pPr>
          </w:p>
        </w:tc>
      </w:tr>
      <w:tr w:rsidR="00FD6A2B" w:rsidRPr="00B026CE" w14:paraId="260B3CE9" w14:textId="77777777" w:rsidTr="00D81420">
        <w:tc>
          <w:tcPr>
            <w:tcW w:w="10533" w:type="dxa"/>
            <w:gridSpan w:val="7"/>
          </w:tcPr>
          <w:p w14:paraId="38A65360" w14:textId="699C287B" w:rsidR="00A75729" w:rsidRPr="00CA1524" w:rsidRDefault="00A75729" w:rsidP="00146BB2">
            <w:pPr>
              <w:spacing w:after="60"/>
              <w:jc w:val="both"/>
              <w:rPr>
                <w:b/>
                <w:bCs/>
                <w:color w:val="000000" w:themeColor="text1"/>
                <w:sz w:val="20"/>
                <w:szCs w:val="20"/>
              </w:rPr>
            </w:pPr>
            <w:r w:rsidRPr="00CA1524">
              <w:rPr>
                <w:b/>
                <w:bCs/>
                <w:color w:val="000000" w:themeColor="text1"/>
                <w:sz w:val="20"/>
                <w:szCs w:val="20"/>
              </w:rPr>
              <w:t>4.7. Prezentarea, în cazul proiectelor de acte normative</w:t>
            </w:r>
            <w:r w:rsidR="00A60FAE" w:rsidRPr="00CA1524">
              <w:rPr>
                <w:b/>
                <w:bCs/>
                <w:color w:val="000000" w:themeColor="text1"/>
                <w:sz w:val="20"/>
                <w:szCs w:val="20"/>
              </w:rPr>
              <w:t xml:space="preserve"> a căror adaptare atrage majorarea cheltuielilor bugetare, a următoarelor documente:</w:t>
            </w:r>
          </w:p>
          <w:p w14:paraId="67DFFAEF" w14:textId="350B0C6A" w:rsidR="00A60FAE" w:rsidRPr="00CA1524" w:rsidRDefault="00A60FAE" w:rsidP="00146BB2">
            <w:pPr>
              <w:spacing w:after="60"/>
              <w:jc w:val="both"/>
              <w:rPr>
                <w:color w:val="000000" w:themeColor="text1"/>
                <w:sz w:val="20"/>
                <w:szCs w:val="20"/>
              </w:rPr>
            </w:pPr>
            <w:r w:rsidRPr="00CA1524">
              <w:rPr>
                <w:color w:val="000000" w:themeColor="text1"/>
                <w:sz w:val="20"/>
                <w:szCs w:val="20"/>
              </w:rPr>
              <w:t>a) fișa financiară prevăzută la art. 15 din Legea nr. 500/2002 privind finanțele publice, cu modificările și completările ulterioare, însoțită de ipotezele și metodologia de calcul utilizată;</w:t>
            </w:r>
          </w:p>
          <w:p w14:paraId="2B88067E" w14:textId="17A3CD99" w:rsidR="00604A61" w:rsidRPr="00CA1524" w:rsidRDefault="00A60FAE" w:rsidP="00146BB2">
            <w:pPr>
              <w:spacing w:after="60"/>
              <w:jc w:val="both"/>
              <w:rPr>
                <w:color w:val="000000" w:themeColor="text1"/>
                <w:sz w:val="20"/>
                <w:szCs w:val="20"/>
              </w:rPr>
            </w:pPr>
            <w:r w:rsidRPr="00CA1524">
              <w:rPr>
                <w:color w:val="000000" w:themeColor="text1"/>
                <w:sz w:val="20"/>
                <w:szCs w:val="20"/>
              </w:rPr>
              <w:t xml:space="preserve">b) declarație conform căreia majorarea de cheltuială respectivă este compatibilă cu obiectivele și prioritățile strategice specificate în strategia fiscal-bugetară, cu legea bugetară anuală și cu plafoanele </w:t>
            </w:r>
            <w:r w:rsidR="00A82648" w:rsidRPr="00CA1524">
              <w:rPr>
                <w:color w:val="000000" w:themeColor="text1"/>
                <w:sz w:val="20"/>
                <w:szCs w:val="20"/>
              </w:rPr>
              <w:t xml:space="preserve">de cheltuieli </w:t>
            </w:r>
            <w:r w:rsidRPr="00CA1524">
              <w:rPr>
                <w:color w:val="000000" w:themeColor="text1"/>
                <w:sz w:val="20"/>
                <w:szCs w:val="20"/>
              </w:rPr>
              <w:t>prezentate în strategia fiscal-bugetară.</w:t>
            </w:r>
          </w:p>
          <w:p w14:paraId="699F79A9" w14:textId="4F19019E" w:rsidR="00F91001" w:rsidRPr="00B026CE" w:rsidRDefault="0035099F" w:rsidP="0030697F">
            <w:pPr>
              <w:spacing w:after="60"/>
              <w:jc w:val="both"/>
              <w:rPr>
                <w:color w:val="000000" w:themeColor="text1"/>
                <w:sz w:val="18"/>
                <w:szCs w:val="20"/>
              </w:rPr>
            </w:pPr>
            <w:r w:rsidRPr="00CA1524">
              <w:rPr>
                <w:color w:val="000000" w:themeColor="text1"/>
                <w:sz w:val="20"/>
                <w:szCs w:val="20"/>
              </w:rPr>
              <w:t>Impactul financiar estimat</w:t>
            </w:r>
            <w:r w:rsidR="007A734F" w:rsidRPr="00CA1524">
              <w:rPr>
                <w:color w:val="000000" w:themeColor="text1"/>
                <w:sz w:val="20"/>
                <w:szCs w:val="20"/>
              </w:rPr>
              <w:t xml:space="preserve"> - Potențialul impact financiar cumulat la nivelul programelor operaţionale 2014-2020 pentru care au fost identificate proiecte ce vor fi încadrate în categoriile proiecte nefuncționale şi proiecte nefinalizate, conform prezentei Ordonanţe de urgenţă, </w:t>
            </w:r>
            <w:r w:rsidR="0030697F" w:rsidRPr="00CA1524">
              <w:rPr>
                <w:color w:val="000000" w:themeColor="text1"/>
                <w:sz w:val="20"/>
                <w:szCs w:val="20"/>
              </w:rPr>
              <w:t xml:space="preserve">în situaţia în care etapizarea anumitor proiecte nu este posibilă, </w:t>
            </w:r>
            <w:r w:rsidR="007A734F" w:rsidRPr="00CA1524">
              <w:rPr>
                <w:color w:val="000000" w:themeColor="text1"/>
                <w:sz w:val="20"/>
                <w:szCs w:val="20"/>
              </w:rPr>
              <w:t xml:space="preserve">impact ce va fi suportat de la bugetul de stat, se ridică la aprox. 4.687 mil. lei, sumă defalcată astfel: PO Competitivitate – aprox. 401 mil. lei, PO Regional – aprox. 2.415 mil. lei, POIM – aprox. 1.871 mil. lei. În plus, în cazul POIM, în condițiile </w:t>
            </w:r>
            <w:r w:rsidR="0030697F" w:rsidRPr="00CA1524">
              <w:rPr>
                <w:color w:val="000000" w:themeColor="text1"/>
                <w:sz w:val="20"/>
                <w:szCs w:val="20"/>
              </w:rPr>
              <w:t>în care etapizarea anumitor proiecte nu este posibilă</w:t>
            </w:r>
            <w:r w:rsidR="007A734F" w:rsidRPr="00CA1524">
              <w:rPr>
                <w:color w:val="000000" w:themeColor="text1"/>
                <w:sz w:val="20"/>
                <w:szCs w:val="20"/>
              </w:rPr>
              <w:t>, a fost estimat un impact financiar asupra bugetelor locale de aprox. 1.308 mil. lei.</w:t>
            </w:r>
          </w:p>
        </w:tc>
      </w:tr>
      <w:tr w:rsidR="00FD6A2B" w:rsidRPr="00B026CE" w14:paraId="675CE50B" w14:textId="77777777" w:rsidTr="00D81420">
        <w:tc>
          <w:tcPr>
            <w:tcW w:w="10533" w:type="dxa"/>
            <w:gridSpan w:val="7"/>
          </w:tcPr>
          <w:p w14:paraId="7EDA715A" w14:textId="152FFC32" w:rsidR="00B4537B" w:rsidRPr="00B026CE" w:rsidRDefault="00B4537B" w:rsidP="00146BB2">
            <w:pPr>
              <w:spacing w:after="60"/>
              <w:rPr>
                <w:b/>
                <w:bCs/>
                <w:noProof/>
                <w:color w:val="000000" w:themeColor="text1"/>
                <w:sz w:val="18"/>
                <w:szCs w:val="20"/>
              </w:rPr>
            </w:pPr>
            <w:r w:rsidRPr="00B026CE">
              <w:rPr>
                <w:b/>
                <w:bCs/>
                <w:noProof/>
                <w:color w:val="000000" w:themeColor="text1"/>
                <w:sz w:val="18"/>
                <w:szCs w:val="20"/>
              </w:rPr>
              <w:t>4.8. Alte informații</w:t>
            </w:r>
          </w:p>
          <w:p w14:paraId="64B74EF4" w14:textId="60EF224A" w:rsidR="00705D4A" w:rsidRPr="00B026CE" w:rsidRDefault="000676D6" w:rsidP="00146BB2">
            <w:pPr>
              <w:spacing w:after="60"/>
              <w:jc w:val="both"/>
              <w:rPr>
                <w:color w:val="000000" w:themeColor="text1"/>
                <w:sz w:val="18"/>
                <w:szCs w:val="20"/>
              </w:rPr>
            </w:pPr>
            <w:r w:rsidRPr="00B026CE">
              <w:rPr>
                <w:color w:val="000000" w:themeColor="text1"/>
                <w:sz w:val="18"/>
                <w:szCs w:val="20"/>
              </w:rPr>
              <w:t>-</w:t>
            </w:r>
          </w:p>
        </w:tc>
      </w:tr>
    </w:tbl>
    <w:p w14:paraId="3A9EE639" w14:textId="77777777" w:rsidR="00FA5616" w:rsidRPr="00FD6A2B" w:rsidRDefault="00FA5616" w:rsidP="00FA5616">
      <w:pPr>
        <w:jc w:val="both"/>
        <w:rPr>
          <w:b/>
          <w:color w:val="000000" w:themeColor="text1"/>
          <w:sz w:val="20"/>
          <w:szCs w:val="20"/>
        </w:rPr>
      </w:pPr>
    </w:p>
    <w:p w14:paraId="777ED2E4" w14:textId="5CD03570" w:rsidR="00B4537B" w:rsidRPr="00FD6A2B" w:rsidRDefault="00670C79" w:rsidP="00A21824">
      <w:pPr>
        <w:spacing w:after="120"/>
        <w:jc w:val="both"/>
        <w:rPr>
          <w:b/>
          <w:color w:val="000000" w:themeColor="text1"/>
          <w:sz w:val="20"/>
          <w:szCs w:val="20"/>
        </w:rPr>
      </w:pPr>
      <w:r w:rsidRPr="00FD6A2B">
        <w:rPr>
          <w:b/>
          <w:color w:val="000000" w:themeColor="text1"/>
          <w:sz w:val="20"/>
          <w:szCs w:val="20"/>
        </w:rPr>
        <w:t xml:space="preserve"> Secţiunea a 5-a </w:t>
      </w:r>
    </w:p>
    <w:p w14:paraId="7E1BCAF6" w14:textId="576D5D21" w:rsidR="00670C79" w:rsidRPr="00FD6A2B" w:rsidRDefault="00670C79" w:rsidP="002A70FC">
      <w:pPr>
        <w:spacing w:after="120"/>
        <w:jc w:val="both"/>
        <w:rPr>
          <w:b/>
          <w:color w:val="000000" w:themeColor="text1"/>
          <w:sz w:val="20"/>
          <w:szCs w:val="20"/>
        </w:rPr>
      </w:pPr>
      <w:r w:rsidRPr="00FD6A2B">
        <w:rPr>
          <w:b/>
          <w:color w:val="000000" w:themeColor="text1"/>
          <w:sz w:val="20"/>
          <w:szCs w:val="20"/>
        </w:rPr>
        <w:t>Efectele proiectului de act normativ asupra legislaţiei în vigoare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FD6A2B" w:rsidRPr="00FD6A2B" w14:paraId="327176B4" w14:textId="77777777" w:rsidTr="00D81420">
        <w:trPr>
          <w:trHeight w:val="561"/>
        </w:trPr>
        <w:tc>
          <w:tcPr>
            <w:tcW w:w="10533" w:type="dxa"/>
          </w:tcPr>
          <w:p w14:paraId="4F9076D7" w14:textId="407D2D2C" w:rsidR="00973701" w:rsidRPr="00FD6A2B" w:rsidRDefault="00973701" w:rsidP="00146BB2">
            <w:pPr>
              <w:spacing w:after="60"/>
              <w:jc w:val="both"/>
              <w:rPr>
                <w:b/>
                <w:bCs/>
                <w:color w:val="000000" w:themeColor="text1"/>
                <w:sz w:val="20"/>
                <w:szCs w:val="20"/>
              </w:rPr>
            </w:pPr>
            <w:r w:rsidRPr="00FD6A2B">
              <w:rPr>
                <w:b/>
                <w:bCs/>
                <w:color w:val="000000" w:themeColor="text1"/>
                <w:sz w:val="20"/>
                <w:szCs w:val="20"/>
              </w:rPr>
              <w:t>5.1. Măsuri normative necesare pentru aplicarea prevederilor proiectului de act normativ</w:t>
            </w:r>
          </w:p>
          <w:p w14:paraId="78CB7914" w14:textId="77777777" w:rsidR="001F37F9" w:rsidRPr="00FD6A2B" w:rsidRDefault="001F37F9" w:rsidP="00146BB2">
            <w:pPr>
              <w:spacing w:after="60"/>
              <w:jc w:val="both"/>
              <w:rPr>
                <w:b/>
                <w:bCs/>
                <w:color w:val="000000" w:themeColor="text1"/>
                <w:sz w:val="20"/>
                <w:szCs w:val="20"/>
              </w:rPr>
            </w:pPr>
            <w:r w:rsidRPr="00FD6A2B">
              <w:rPr>
                <w:color w:val="000000" w:themeColor="text1"/>
                <w:sz w:val="20"/>
                <w:szCs w:val="20"/>
              </w:rPr>
              <w:t>Proiectul de act normativ nu se referă la acest subiect.</w:t>
            </w:r>
          </w:p>
          <w:p w14:paraId="79B335E6" w14:textId="7C87FE32" w:rsidR="00973701" w:rsidRPr="00FD6A2B" w:rsidRDefault="00973701" w:rsidP="00146BB2">
            <w:pPr>
              <w:tabs>
                <w:tab w:val="left" w:pos="201"/>
              </w:tabs>
              <w:spacing w:after="60"/>
              <w:jc w:val="both"/>
              <w:rPr>
                <w:b/>
                <w:bCs/>
                <w:color w:val="000000" w:themeColor="text1"/>
                <w:sz w:val="20"/>
                <w:szCs w:val="20"/>
              </w:rPr>
            </w:pPr>
            <w:r w:rsidRPr="00FD6A2B">
              <w:rPr>
                <w:b/>
                <w:bCs/>
                <w:color w:val="000000" w:themeColor="text1"/>
                <w:sz w:val="20"/>
                <w:szCs w:val="20"/>
              </w:rPr>
              <w:t>5.2. Impactul asupra legislației în domeniul achizițiilor publice</w:t>
            </w:r>
          </w:p>
          <w:p w14:paraId="58F52DF9" w14:textId="77777777" w:rsidR="001F37F9" w:rsidRPr="00FD6A2B" w:rsidRDefault="001F37F9" w:rsidP="00146BB2">
            <w:pPr>
              <w:spacing w:after="60"/>
              <w:jc w:val="both"/>
              <w:rPr>
                <w:b/>
                <w:bCs/>
                <w:color w:val="000000" w:themeColor="text1"/>
                <w:sz w:val="20"/>
                <w:szCs w:val="20"/>
              </w:rPr>
            </w:pPr>
            <w:r w:rsidRPr="00FD6A2B">
              <w:rPr>
                <w:color w:val="000000" w:themeColor="text1"/>
                <w:sz w:val="20"/>
                <w:szCs w:val="20"/>
              </w:rPr>
              <w:t>Proiectul de act normativ nu se referă la acest subiect.</w:t>
            </w:r>
          </w:p>
          <w:p w14:paraId="3CE6B9A6" w14:textId="78845DF6" w:rsidR="00973701" w:rsidRPr="00FD6A2B" w:rsidRDefault="00973701" w:rsidP="00146BB2">
            <w:pPr>
              <w:tabs>
                <w:tab w:val="left" w:pos="201"/>
              </w:tabs>
              <w:spacing w:after="60"/>
              <w:jc w:val="both"/>
              <w:rPr>
                <w:b/>
                <w:bCs/>
                <w:color w:val="000000" w:themeColor="text1"/>
                <w:sz w:val="20"/>
                <w:szCs w:val="20"/>
              </w:rPr>
            </w:pPr>
            <w:r w:rsidRPr="00FD6A2B">
              <w:rPr>
                <w:b/>
                <w:bCs/>
                <w:color w:val="000000" w:themeColor="text1"/>
                <w:sz w:val="20"/>
                <w:szCs w:val="20"/>
              </w:rPr>
              <w:t>5.3. Conformitatea  proiectului de act normativ cu legislaţia UE (în cazul proiectelor ce transpun sau asigură aplicarea unor prevederi de drept UE)</w:t>
            </w:r>
          </w:p>
          <w:p w14:paraId="09158D06" w14:textId="7EEBFF96" w:rsidR="00973701" w:rsidRPr="00FD6A2B" w:rsidRDefault="00973701" w:rsidP="00146BB2">
            <w:pPr>
              <w:tabs>
                <w:tab w:val="left" w:pos="201"/>
              </w:tabs>
              <w:spacing w:after="60"/>
              <w:jc w:val="both"/>
              <w:rPr>
                <w:b/>
                <w:bCs/>
                <w:color w:val="000000" w:themeColor="text1"/>
                <w:sz w:val="20"/>
                <w:szCs w:val="20"/>
              </w:rPr>
            </w:pPr>
            <w:r w:rsidRPr="00FD6A2B">
              <w:rPr>
                <w:b/>
                <w:bCs/>
                <w:color w:val="000000" w:themeColor="text1"/>
                <w:sz w:val="20"/>
                <w:szCs w:val="20"/>
              </w:rPr>
              <w:t>5.3.1. Măsuri normative necesare transpunerii directivelor UE</w:t>
            </w:r>
          </w:p>
          <w:p w14:paraId="3E810491" w14:textId="6D6426D2" w:rsidR="001F37F9" w:rsidRPr="00FD6A2B" w:rsidRDefault="00456611" w:rsidP="00146BB2">
            <w:pPr>
              <w:spacing w:after="60"/>
              <w:jc w:val="both"/>
              <w:rPr>
                <w:b/>
                <w:bCs/>
                <w:color w:val="000000" w:themeColor="text1"/>
                <w:sz w:val="20"/>
                <w:szCs w:val="20"/>
              </w:rPr>
            </w:pPr>
            <w:r w:rsidRPr="00FD6A2B">
              <w:rPr>
                <w:b/>
                <w:bCs/>
                <w:color w:val="000000" w:themeColor="text1"/>
                <w:sz w:val="20"/>
                <w:szCs w:val="20"/>
              </w:rPr>
              <w:t xml:space="preserve"> </w:t>
            </w:r>
            <w:r w:rsidR="001F37F9" w:rsidRPr="00FD6A2B">
              <w:rPr>
                <w:color w:val="000000" w:themeColor="text1"/>
                <w:sz w:val="20"/>
                <w:szCs w:val="20"/>
              </w:rPr>
              <w:t>Proiectul de act normativ nu se referă la acest subiect.</w:t>
            </w:r>
          </w:p>
          <w:p w14:paraId="4087DBF1" w14:textId="30300D75" w:rsidR="00973701" w:rsidRPr="00FD6A2B" w:rsidRDefault="00674D58" w:rsidP="00146BB2">
            <w:pPr>
              <w:tabs>
                <w:tab w:val="left" w:pos="201"/>
              </w:tabs>
              <w:spacing w:after="60"/>
              <w:jc w:val="both"/>
              <w:rPr>
                <w:b/>
                <w:bCs/>
                <w:color w:val="000000" w:themeColor="text1"/>
                <w:sz w:val="20"/>
                <w:szCs w:val="20"/>
              </w:rPr>
            </w:pPr>
            <w:r w:rsidRPr="00FD6A2B">
              <w:rPr>
                <w:b/>
                <w:bCs/>
                <w:color w:val="000000" w:themeColor="text1"/>
                <w:sz w:val="20"/>
                <w:szCs w:val="20"/>
              </w:rPr>
              <w:t>5.3.2. Măsuri normative necesare aplicării actelor legislative UE</w:t>
            </w:r>
          </w:p>
          <w:p w14:paraId="73D33CD2" w14:textId="609C6E8C" w:rsidR="001F37F9" w:rsidRPr="00FD6A2B" w:rsidRDefault="00552EB0" w:rsidP="00146BB2">
            <w:pPr>
              <w:spacing w:after="60"/>
              <w:jc w:val="both"/>
              <w:rPr>
                <w:b/>
                <w:bCs/>
                <w:color w:val="000000" w:themeColor="text1"/>
                <w:sz w:val="20"/>
                <w:szCs w:val="20"/>
              </w:rPr>
            </w:pPr>
            <w:r w:rsidRPr="00FD6A2B">
              <w:rPr>
                <w:b/>
                <w:bCs/>
                <w:color w:val="000000" w:themeColor="text1"/>
                <w:sz w:val="20"/>
                <w:szCs w:val="20"/>
              </w:rPr>
              <w:t xml:space="preserve"> </w:t>
            </w:r>
            <w:r w:rsidR="001F37F9" w:rsidRPr="00FD6A2B">
              <w:rPr>
                <w:color w:val="000000" w:themeColor="text1"/>
                <w:sz w:val="20"/>
                <w:szCs w:val="20"/>
              </w:rPr>
              <w:t>Proiectul de act normativ nu se referă la acest subiect.</w:t>
            </w:r>
          </w:p>
          <w:p w14:paraId="1EE1AEFA" w14:textId="77777777" w:rsidR="001F37F9" w:rsidRPr="00FD6A2B" w:rsidRDefault="00674D58" w:rsidP="00146BB2">
            <w:pPr>
              <w:spacing w:after="60"/>
              <w:jc w:val="both"/>
              <w:rPr>
                <w:b/>
                <w:bCs/>
                <w:color w:val="000000" w:themeColor="text1"/>
                <w:sz w:val="20"/>
                <w:szCs w:val="20"/>
              </w:rPr>
            </w:pPr>
            <w:r w:rsidRPr="00FD6A2B">
              <w:rPr>
                <w:b/>
                <w:bCs/>
                <w:color w:val="000000" w:themeColor="text1"/>
                <w:sz w:val="20"/>
                <w:szCs w:val="20"/>
              </w:rPr>
              <w:t>5.4. Hotărâri ale Curţii de Justiţie a Uniunii Europene</w:t>
            </w:r>
            <w:r w:rsidR="002623AD" w:rsidRPr="00FD6A2B">
              <w:rPr>
                <w:b/>
                <w:bCs/>
                <w:color w:val="000000" w:themeColor="text1"/>
                <w:sz w:val="20"/>
                <w:szCs w:val="20"/>
              </w:rPr>
              <w:t xml:space="preserve"> - </w:t>
            </w:r>
            <w:r w:rsidR="001F37F9" w:rsidRPr="00FD6A2B">
              <w:rPr>
                <w:color w:val="000000" w:themeColor="text1"/>
                <w:sz w:val="20"/>
                <w:szCs w:val="20"/>
              </w:rPr>
              <w:t>Proiectul de act normativ nu se referă la acest subiect.</w:t>
            </w:r>
          </w:p>
          <w:p w14:paraId="5468D61D" w14:textId="7F757795" w:rsidR="00674D58" w:rsidRPr="00FD6A2B" w:rsidRDefault="00674D58" w:rsidP="00146BB2">
            <w:pPr>
              <w:tabs>
                <w:tab w:val="left" w:pos="201"/>
              </w:tabs>
              <w:spacing w:after="60"/>
              <w:jc w:val="both"/>
              <w:rPr>
                <w:b/>
                <w:bCs/>
                <w:color w:val="000000" w:themeColor="text1"/>
                <w:sz w:val="20"/>
                <w:szCs w:val="20"/>
              </w:rPr>
            </w:pPr>
            <w:r w:rsidRPr="00FD6A2B">
              <w:rPr>
                <w:b/>
                <w:bCs/>
                <w:color w:val="000000" w:themeColor="text1"/>
                <w:sz w:val="20"/>
                <w:szCs w:val="20"/>
              </w:rPr>
              <w:t>5.5. Alte acte normative şi/sau documente internaţionale din care decurg angajamente asumate</w:t>
            </w:r>
            <w:r w:rsidR="002623AD" w:rsidRPr="00FD6A2B">
              <w:rPr>
                <w:b/>
                <w:bCs/>
                <w:color w:val="000000" w:themeColor="text1"/>
                <w:sz w:val="20"/>
                <w:szCs w:val="20"/>
              </w:rPr>
              <w:t xml:space="preserve"> </w:t>
            </w:r>
          </w:p>
          <w:p w14:paraId="58799D57" w14:textId="25D3C908" w:rsidR="001F37F9" w:rsidRPr="00FD6A2B" w:rsidRDefault="001F37F9" w:rsidP="00146BB2">
            <w:pPr>
              <w:spacing w:after="60"/>
              <w:jc w:val="both"/>
              <w:rPr>
                <w:b/>
                <w:bCs/>
                <w:color w:val="000000" w:themeColor="text1"/>
                <w:sz w:val="20"/>
                <w:szCs w:val="20"/>
              </w:rPr>
            </w:pPr>
            <w:r w:rsidRPr="00FD6A2B">
              <w:rPr>
                <w:color w:val="000000" w:themeColor="text1"/>
                <w:sz w:val="20"/>
                <w:szCs w:val="20"/>
              </w:rPr>
              <w:t>Proiectul de act normativ nu se referă la acest subiect.</w:t>
            </w:r>
          </w:p>
          <w:p w14:paraId="7C430706" w14:textId="174768C2" w:rsidR="00973701" w:rsidRPr="00FD6A2B" w:rsidRDefault="00674D58" w:rsidP="00146BB2">
            <w:pPr>
              <w:tabs>
                <w:tab w:val="left" w:pos="201"/>
              </w:tabs>
              <w:spacing w:after="60"/>
              <w:jc w:val="both"/>
              <w:rPr>
                <w:color w:val="000000" w:themeColor="text1"/>
                <w:sz w:val="20"/>
                <w:szCs w:val="20"/>
              </w:rPr>
            </w:pPr>
            <w:r w:rsidRPr="00FD6A2B">
              <w:rPr>
                <w:b/>
                <w:bCs/>
                <w:color w:val="000000" w:themeColor="text1"/>
                <w:sz w:val="20"/>
                <w:szCs w:val="20"/>
              </w:rPr>
              <w:t>5.6. Alte informații</w:t>
            </w:r>
            <w:r w:rsidR="00393E05" w:rsidRPr="00FD6A2B">
              <w:rPr>
                <w:b/>
                <w:bCs/>
                <w:color w:val="000000" w:themeColor="text1"/>
                <w:sz w:val="20"/>
                <w:szCs w:val="20"/>
              </w:rPr>
              <w:t xml:space="preserve">- </w:t>
            </w:r>
            <w:r w:rsidR="00B73EBD" w:rsidRPr="00FD6A2B">
              <w:rPr>
                <w:color w:val="000000" w:themeColor="text1"/>
                <w:sz w:val="20"/>
                <w:szCs w:val="20"/>
              </w:rPr>
              <w:t>Nu au fost identificate</w:t>
            </w:r>
          </w:p>
        </w:tc>
      </w:tr>
    </w:tbl>
    <w:p w14:paraId="4783691B" w14:textId="77777777" w:rsidR="007A734F" w:rsidRDefault="007A734F" w:rsidP="00E473DD">
      <w:pPr>
        <w:spacing w:after="120"/>
        <w:rPr>
          <w:b/>
          <w:color w:val="000000" w:themeColor="text1"/>
          <w:sz w:val="20"/>
          <w:szCs w:val="20"/>
        </w:rPr>
      </w:pPr>
    </w:p>
    <w:p w14:paraId="6F04DAD9" w14:textId="446A9282" w:rsidR="00BB0782" w:rsidRPr="00FD6A2B" w:rsidRDefault="00BB0782" w:rsidP="00E473DD">
      <w:pPr>
        <w:spacing w:after="120"/>
        <w:rPr>
          <w:b/>
          <w:color w:val="000000" w:themeColor="text1"/>
          <w:sz w:val="20"/>
          <w:szCs w:val="20"/>
        </w:rPr>
      </w:pPr>
      <w:r w:rsidRPr="00FD6A2B">
        <w:rPr>
          <w:b/>
          <w:color w:val="000000" w:themeColor="text1"/>
          <w:sz w:val="20"/>
          <w:szCs w:val="20"/>
        </w:rPr>
        <w:t>Secțiunea a 6-a</w:t>
      </w:r>
    </w:p>
    <w:p w14:paraId="4113E59E" w14:textId="59419D76" w:rsidR="00670C79" w:rsidRPr="00FD6A2B" w:rsidRDefault="00670C79" w:rsidP="003C6909">
      <w:pPr>
        <w:spacing w:after="120"/>
        <w:rPr>
          <w:b/>
          <w:color w:val="000000" w:themeColor="text1"/>
          <w:sz w:val="20"/>
          <w:szCs w:val="20"/>
        </w:rPr>
      </w:pPr>
      <w:r w:rsidRPr="00FD6A2B">
        <w:rPr>
          <w:b/>
          <w:color w:val="000000" w:themeColor="text1"/>
          <w:sz w:val="20"/>
          <w:szCs w:val="20"/>
        </w:rPr>
        <w:lastRenderedPageBreak/>
        <w:t>Consultările efectuate în vederea elaborării proiectului de act normativ</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FD6A2B" w:rsidRPr="00FD6A2B" w14:paraId="5EB7CDBC" w14:textId="77777777" w:rsidTr="00D81420">
        <w:tc>
          <w:tcPr>
            <w:tcW w:w="10533" w:type="dxa"/>
          </w:tcPr>
          <w:p w14:paraId="598B642C" w14:textId="50A84CE9" w:rsidR="00770E01" w:rsidRPr="00FD6A2B" w:rsidRDefault="00770E01" w:rsidP="00146BB2">
            <w:pPr>
              <w:spacing w:after="60"/>
              <w:jc w:val="both"/>
              <w:rPr>
                <w:b/>
                <w:bCs/>
                <w:color w:val="000000" w:themeColor="text1"/>
                <w:sz w:val="20"/>
                <w:szCs w:val="20"/>
              </w:rPr>
            </w:pPr>
            <w:r w:rsidRPr="00FD6A2B">
              <w:rPr>
                <w:b/>
                <w:bCs/>
                <w:color w:val="000000" w:themeColor="text1"/>
                <w:sz w:val="20"/>
                <w:szCs w:val="20"/>
              </w:rPr>
              <w:t>6.1. Informații privind neaplicarea procedurii de participare la elaborarea actelor normative</w:t>
            </w:r>
          </w:p>
          <w:p w14:paraId="3A93CCCC" w14:textId="77777777" w:rsidR="001F37F9" w:rsidRPr="00FD6A2B" w:rsidRDefault="001F37F9" w:rsidP="00146BB2">
            <w:pPr>
              <w:spacing w:after="60"/>
              <w:jc w:val="both"/>
              <w:rPr>
                <w:b/>
                <w:bCs/>
                <w:color w:val="000000" w:themeColor="text1"/>
                <w:sz w:val="20"/>
                <w:szCs w:val="20"/>
              </w:rPr>
            </w:pPr>
            <w:r w:rsidRPr="00FD6A2B">
              <w:rPr>
                <w:color w:val="000000" w:themeColor="text1"/>
                <w:sz w:val="20"/>
                <w:szCs w:val="20"/>
              </w:rPr>
              <w:t>Proiectul de act normativ nu se referă la acest subiect.</w:t>
            </w:r>
          </w:p>
          <w:p w14:paraId="0B61431A" w14:textId="5198BD98" w:rsidR="00770E01" w:rsidRPr="00FD6A2B" w:rsidRDefault="00770E01" w:rsidP="00146BB2">
            <w:pPr>
              <w:spacing w:after="60"/>
              <w:jc w:val="both"/>
              <w:rPr>
                <w:b/>
                <w:bCs/>
                <w:color w:val="000000" w:themeColor="text1"/>
                <w:sz w:val="20"/>
                <w:szCs w:val="20"/>
              </w:rPr>
            </w:pPr>
            <w:r w:rsidRPr="00FD6A2B">
              <w:rPr>
                <w:b/>
                <w:bCs/>
                <w:color w:val="000000" w:themeColor="text1"/>
                <w:sz w:val="20"/>
                <w:szCs w:val="20"/>
              </w:rPr>
              <w:t>6.2. Informaţii privind procesul de consultare cu organizaţii neguvernamentale, institute de cercetare şi alte organisme implicate</w:t>
            </w:r>
          </w:p>
          <w:p w14:paraId="2BC7802C" w14:textId="77777777" w:rsidR="003D079C" w:rsidRPr="00FD6A2B" w:rsidRDefault="003D079C" w:rsidP="00146BB2">
            <w:pPr>
              <w:spacing w:after="60"/>
              <w:jc w:val="both"/>
              <w:rPr>
                <w:b/>
                <w:bCs/>
                <w:color w:val="000000" w:themeColor="text1"/>
                <w:sz w:val="20"/>
                <w:szCs w:val="20"/>
              </w:rPr>
            </w:pPr>
            <w:r w:rsidRPr="00FD6A2B">
              <w:rPr>
                <w:color w:val="000000" w:themeColor="text1"/>
                <w:sz w:val="20"/>
                <w:szCs w:val="20"/>
              </w:rPr>
              <w:t>Proiectul de act normativ nu se referă la acest subiect.</w:t>
            </w:r>
          </w:p>
          <w:p w14:paraId="2BABECC5" w14:textId="5AB3CE08" w:rsidR="00926ABC" w:rsidRPr="00FD6A2B" w:rsidRDefault="00770E01" w:rsidP="00146BB2">
            <w:pPr>
              <w:spacing w:after="60"/>
              <w:jc w:val="both"/>
              <w:rPr>
                <w:b/>
                <w:bCs/>
                <w:color w:val="000000" w:themeColor="text1"/>
                <w:sz w:val="20"/>
                <w:szCs w:val="20"/>
              </w:rPr>
            </w:pPr>
            <w:r w:rsidRPr="00FD6A2B">
              <w:rPr>
                <w:b/>
                <w:bCs/>
                <w:color w:val="000000" w:themeColor="text1"/>
                <w:sz w:val="20"/>
                <w:szCs w:val="20"/>
              </w:rPr>
              <w:t>6.3. Informații despre consultările organizate cu autoritățile administrației publice locale</w:t>
            </w:r>
          </w:p>
          <w:p w14:paraId="2D879C63" w14:textId="77777777" w:rsidR="00E033EF" w:rsidRPr="00FD6A2B" w:rsidRDefault="00E033EF" w:rsidP="00E033EF">
            <w:pPr>
              <w:spacing w:after="60"/>
              <w:jc w:val="both"/>
              <w:rPr>
                <w:color w:val="000000" w:themeColor="text1"/>
                <w:sz w:val="20"/>
                <w:szCs w:val="20"/>
              </w:rPr>
            </w:pPr>
            <w:r w:rsidRPr="00FD6A2B">
              <w:rPr>
                <w:color w:val="000000" w:themeColor="text1"/>
                <w:sz w:val="20"/>
                <w:szCs w:val="20"/>
              </w:rPr>
              <w:t>A fost realizată procedura de consultare în conformitate cu prevederile Ordonanței de urgență a Guvernului nr. 57/2019 privind Codul administrativ, cu completările ulterioare, precum și ale Hotărârii Guvernului nr. 635/2022 privind procedura de consultare a structurilor asociative ale autorităților administrației publice locale la elaborarea proiectelor de acte normative.</w:t>
            </w:r>
          </w:p>
          <w:p w14:paraId="46875C67" w14:textId="77777777" w:rsidR="00E033EF" w:rsidRPr="00FD6A2B" w:rsidRDefault="00E033EF" w:rsidP="00E033EF">
            <w:pPr>
              <w:spacing w:after="60"/>
              <w:jc w:val="both"/>
              <w:rPr>
                <w:color w:val="000000" w:themeColor="text1"/>
                <w:sz w:val="20"/>
                <w:szCs w:val="20"/>
              </w:rPr>
            </w:pPr>
            <w:r w:rsidRPr="00FD6A2B">
              <w:rPr>
                <w:color w:val="000000" w:themeColor="text1"/>
                <w:sz w:val="20"/>
                <w:szCs w:val="20"/>
              </w:rPr>
              <w:t>Proiectul de act normativ a fost transmis pentru consultare structurilor asociative ale autorităților administrației publice locale, solicitându-se punct de vedere de la Asociația Comunelor din România, Asociația Municipiilor din România, Asociația Orașelor din România, respectiv de la Uniunea Națională a Consiliilor Județene din România.</w:t>
            </w:r>
          </w:p>
          <w:p w14:paraId="53F02791" w14:textId="371BAB54" w:rsidR="00770E01" w:rsidRPr="00FD6A2B" w:rsidRDefault="00770E01" w:rsidP="00146BB2">
            <w:pPr>
              <w:spacing w:after="60"/>
              <w:jc w:val="both"/>
              <w:rPr>
                <w:b/>
                <w:bCs/>
                <w:color w:val="000000" w:themeColor="text1"/>
                <w:sz w:val="20"/>
                <w:szCs w:val="20"/>
              </w:rPr>
            </w:pPr>
            <w:r w:rsidRPr="00FD6A2B">
              <w:rPr>
                <w:b/>
                <w:bCs/>
                <w:color w:val="000000" w:themeColor="text1"/>
                <w:sz w:val="20"/>
                <w:szCs w:val="20"/>
              </w:rPr>
              <w:t>6.4. Informații privind puncte de vedere/opinii emise de organisme consul</w:t>
            </w:r>
            <w:r w:rsidR="00B36825" w:rsidRPr="00FD6A2B">
              <w:rPr>
                <w:b/>
                <w:bCs/>
                <w:color w:val="000000" w:themeColor="text1"/>
                <w:sz w:val="20"/>
                <w:szCs w:val="20"/>
              </w:rPr>
              <w:t>t</w:t>
            </w:r>
            <w:r w:rsidRPr="00FD6A2B">
              <w:rPr>
                <w:b/>
                <w:bCs/>
                <w:color w:val="000000" w:themeColor="text1"/>
                <w:sz w:val="20"/>
                <w:szCs w:val="20"/>
              </w:rPr>
              <w:t>ative constituite prin acte normative</w:t>
            </w:r>
          </w:p>
          <w:p w14:paraId="0DE0AE79" w14:textId="77777777" w:rsidR="001F37F9" w:rsidRPr="00FD6A2B" w:rsidRDefault="001F37F9" w:rsidP="00146BB2">
            <w:pPr>
              <w:spacing w:after="60"/>
              <w:jc w:val="both"/>
              <w:rPr>
                <w:b/>
                <w:bCs/>
                <w:color w:val="000000" w:themeColor="text1"/>
                <w:sz w:val="20"/>
                <w:szCs w:val="20"/>
              </w:rPr>
            </w:pPr>
            <w:r w:rsidRPr="00FD6A2B">
              <w:rPr>
                <w:color w:val="000000" w:themeColor="text1"/>
                <w:sz w:val="20"/>
                <w:szCs w:val="20"/>
              </w:rPr>
              <w:t>Proiectul de act normativ nu se referă la acest subiect.</w:t>
            </w:r>
          </w:p>
          <w:p w14:paraId="0FF572CC" w14:textId="3F3A66CE" w:rsidR="00770E01" w:rsidRPr="00FD6A2B" w:rsidRDefault="00770E01" w:rsidP="00146BB2">
            <w:pPr>
              <w:spacing w:after="60"/>
              <w:jc w:val="both"/>
              <w:rPr>
                <w:b/>
                <w:bCs/>
                <w:color w:val="000000" w:themeColor="text1"/>
                <w:sz w:val="20"/>
                <w:szCs w:val="20"/>
              </w:rPr>
            </w:pPr>
            <w:r w:rsidRPr="00FD6A2B">
              <w:rPr>
                <w:b/>
                <w:bCs/>
                <w:color w:val="000000" w:themeColor="text1"/>
                <w:sz w:val="20"/>
                <w:szCs w:val="20"/>
              </w:rPr>
              <w:t>6.5</w:t>
            </w:r>
            <w:r w:rsidR="004555DD" w:rsidRPr="00FD6A2B">
              <w:rPr>
                <w:b/>
                <w:bCs/>
                <w:color w:val="000000" w:themeColor="text1"/>
                <w:sz w:val="20"/>
                <w:szCs w:val="20"/>
              </w:rPr>
              <w:t>.</w:t>
            </w:r>
            <w:r w:rsidRPr="00FD6A2B">
              <w:rPr>
                <w:b/>
                <w:bCs/>
                <w:color w:val="000000" w:themeColor="text1"/>
                <w:sz w:val="20"/>
                <w:szCs w:val="20"/>
              </w:rPr>
              <w:t xml:space="preserve"> Informații privind avizarea de către:</w:t>
            </w:r>
          </w:p>
          <w:p w14:paraId="3DD2ED4C" w14:textId="59E78DDA" w:rsidR="00770E01" w:rsidRPr="00FD6A2B" w:rsidRDefault="00770E01" w:rsidP="00146BB2">
            <w:pPr>
              <w:spacing w:after="60"/>
              <w:jc w:val="both"/>
              <w:rPr>
                <w:color w:val="000000" w:themeColor="text1"/>
                <w:sz w:val="20"/>
                <w:szCs w:val="20"/>
              </w:rPr>
            </w:pPr>
            <w:r w:rsidRPr="00FD6A2B">
              <w:rPr>
                <w:color w:val="000000" w:themeColor="text1"/>
                <w:sz w:val="20"/>
                <w:szCs w:val="20"/>
              </w:rPr>
              <w:t xml:space="preserve">a) Consiliul </w:t>
            </w:r>
            <w:r w:rsidR="008F6907" w:rsidRPr="00FD6A2B">
              <w:rPr>
                <w:color w:val="000000" w:themeColor="text1"/>
                <w:sz w:val="20"/>
                <w:szCs w:val="20"/>
              </w:rPr>
              <w:t>L</w:t>
            </w:r>
            <w:r w:rsidRPr="00FD6A2B">
              <w:rPr>
                <w:color w:val="000000" w:themeColor="text1"/>
                <w:sz w:val="20"/>
                <w:szCs w:val="20"/>
              </w:rPr>
              <w:t>egislativ</w:t>
            </w:r>
            <w:r w:rsidR="00B73EBD" w:rsidRPr="00FD6A2B">
              <w:rPr>
                <w:color w:val="000000" w:themeColor="text1"/>
                <w:sz w:val="20"/>
                <w:szCs w:val="20"/>
              </w:rPr>
              <w:t>-</w:t>
            </w:r>
            <w:r w:rsidR="0090626B" w:rsidRPr="00FD6A2B">
              <w:rPr>
                <w:color w:val="000000" w:themeColor="text1"/>
                <w:sz w:val="20"/>
                <w:szCs w:val="20"/>
              </w:rPr>
              <w:t xml:space="preserve"> p</w:t>
            </w:r>
            <w:r w:rsidR="00B73EBD" w:rsidRPr="00FD6A2B">
              <w:rPr>
                <w:color w:val="000000" w:themeColor="text1"/>
                <w:sz w:val="20"/>
                <w:szCs w:val="20"/>
              </w:rPr>
              <w:t>rezentul proiect de act normativ este supus avizării Consiliului Legislativ</w:t>
            </w:r>
          </w:p>
          <w:p w14:paraId="5FE65553" w14:textId="382F12B3" w:rsidR="00770E01" w:rsidRPr="00FD6A2B" w:rsidRDefault="00770E01" w:rsidP="00146BB2">
            <w:pPr>
              <w:spacing w:after="60"/>
              <w:jc w:val="both"/>
              <w:rPr>
                <w:color w:val="000000" w:themeColor="text1"/>
                <w:sz w:val="20"/>
                <w:szCs w:val="20"/>
              </w:rPr>
            </w:pPr>
            <w:r w:rsidRPr="00FD6A2B">
              <w:rPr>
                <w:color w:val="000000" w:themeColor="text1"/>
                <w:sz w:val="20"/>
                <w:szCs w:val="20"/>
              </w:rPr>
              <w:t>b)</w:t>
            </w:r>
            <w:r w:rsidR="00456611" w:rsidRPr="00FD6A2B">
              <w:rPr>
                <w:color w:val="000000" w:themeColor="text1"/>
                <w:sz w:val="20"/>
                <w:szCs w:val="20"/>
              </w:rPr>
              <w:t xml:space="preserve"> </w:t>
            </w:r>
            <w:r w:rsidRPr="00FD6A2B">
              <w:rPr>
                <w:color w:val="000000" w:themeColor="text1"/>
                <w:sz w:val="20"/>
                <w:szCs w:val="20"/>
              </w:rPr>
              <w:t>Consiliul Suprem de Apărare a Ţării</w:t>
            </w:r>
            <w:r w:rsidR="00B73EBD" w:rsidRPr="00FD6A2B">
              <w:rPr>
                <w:color w:val="000000" w:themeColor="text1"/>
                <w:sz w:val="20"/>
                <w:szCs w:val="20"/>
              </w:rPr>
              <w:t xml:space="preserve"> </w:t>
            </w:r>
          </w:p>
          <w:p w14:paraId="22642D64" w14:textId="00ED3153" w:rsidR="00770E01" w:rsidRPr="00FD6A2B" w:rsidRDefault="00770E01" w:rsidP="00146BB2">
            <w:pPr>
              <w:spacing w:after="60"/>
              <w:jc w:val="both"/>
              <w:rPr>
                <w:color w:val="000000" w:themeColor="text1"/>
                <w:sz w:val="20"/>
                <w:szCs w:val="20"/>
              </w:rPr>
            </w:pPr>
            <w:r w:rsidRPr="00FD6A2B">
              <w:rPr>
                <w:color w:val="000000" w:themeColor="text1"/>
                <w:sz w:val="20"/>
                <w:szCs w:val="20"/>
              </w:rPr>
              <w:t>c)</w:t>
            </w:r>
            <w:r w:rsidR="00456611" w:rsidRPr="00FD6A2B">
              <w:rPr>
                <w:color w:val="000000" w:themeColor="text1"/>
                <w:sz w:val="20"/>
                <w:szCs w:val="20"/>
              </w:rPr>
              <w:t xml:space="preserve"> </w:t>
            </w:r>
            <w:r w:rsidRPr="00FD6A2B">
              <w:rPr>
                <w:color w:val="000000" w:themeColor="text1"/>
                <w:sz w:val="20"/>
                <w:szCs w:val="20"/>
              </w:rPr>
              <w:t>Consiliul Economic şi Social</w:t>
            </w:r>
          </w:p>
          <w:p w14:paraId="782E1FCE" w14:textId="301B24F8" w:rsidR="00770E01" w:rsidRPr="00FD6A2B" w:rsidRDefault="00770E01" w:rsidP="00146BB2">
            <w:pPr>
              <w:spacing w:after="60"/>
              <w:jc w:val="both"/>
              <w:rPr>
                <w:color w:val="000000" w:themeColor="text1"/>
                <w:sz w:val="20"/>
                <w:szCs w:val="20"/>
              </w:rPr>
            </w:pPr>
            <w:r w:rsidRPr="00FD6A2B">
              <w:rPr>
                <w:color w:val="000000" w:themeColor="text1"/>
                <w:sz w:val="20"/>
                <w:szCs w:val="20"/>
              </w:rPr>
              <w:t>d)</w:t>
            </w:r>
            <w:r w:rsidR="00456611" w:rsidRPr="00FD6A2B">
              <w:rPr>
                <w:color w:val="000000" w:themeColor="text1"/>
                <w:sz w:val="20"/>
                <w:szCs w:val="20"/>
              </w:rPr>
              <w:t xml:space="preserve"> </w:t>
            </w:r>
            <w:r w:rsidRPr="00FD6A2B">
              <w:rPr>
                <w:color w:val="000000" w:themeColor="text1"/>
                <w:sz w:val="20"/>
                <w:szCs w:val="20"/>
              </w:rPr>
              <w:t xml:space="preserve">Consiliul Concurenţei </w:t>
            </w:r>
            <w:r w:rsidR="0090626B" w:rsidRPr="00FD6A2B">
              <w:rPr>
                <w:color w:val="000000" w:themeColor="text1"/>
                <w:sz w:val="20"/>
                <w:szCs w:val="20"/>
              </w:rPr>
              <w:t xml:space="preserve">– </w:t>
            </w:r>
            <w:r w:rsidR="003D079C" w:rsidRPr="00FD6A2B">
              <w:rPr>
                <w:color w:val="000000" w:themeColor="text1"/>
                <w:sz w:val="20"/>
                <w:szCs w:val="20"/>
              </w:rPr>
              <w:t>se va solicita punctul de vedere</w:t>
            </w:r>
          </w:p>
          <w:p w14:paraId="0402BAF6" w14:textId="55838F70" w:rsidR="00A9628C" w:rsidRPr="00FD6A2B" w:rsidRDefault="00770E01" w:rsidP="00146BB2">
            <w:pPr>
              <w:spacing w:after="60"/>
              <w:jc w:val="both"/>
              <w:rPr>
                <w:color w:val="000000" w:themeColor="text1"/>
                <w:sz w:val="20"/>
                <w:szCs w:val="20"/>
              </w:rPr>
            </w:pPr>
            <w:r w:rsidRPr="00FD6A2B">
              <w:rPr>
                <w:color w:val="000000" w:themeColor="text1"/>
                <w:sz w:val="20"/>
                <w:szCs w:val="20"/>
              </w:rPr>
              <w:t>e)</w:t>
            </w:r>
            <w:r w:rsidR="00456611" w:rsidRPr="00FD6A2B">
              <w:rPr>
                <w:color w:val="000000" w:themeColor="text1"/>
                <w:sz w:val="20"/>
                <w:szCs w:val="20"/>
              </w:rPr>
              <w:t xml:space="preserve"> </w:t>
            </w:r>
            <w:r w:rsidR="00A9628C" w:rsidRPr="00FD6A2B">
              <w:rPr>
                <w:color w:val="000000" w:themeColor="text1"/>
                <w:sz w:val="20"/>
                <w:szCs w:val="20"/>
              </w:rPr>
              <w:t xml:space="preserve">Autorității de Audit din cadrul Curții de Conturi </w:t>
            </w:r>
            <w:r w:rsidR="00393E05" w:rsidRPr="00FD6A2B">
              <w:rPr>
                <w:color w:val="000000" w:themeColor="text1"/>
                <w:sz w:val="20"/>
                <w:szCs w:val="20"/>
              </w:rPr>
              <w:t>-</w:t>
            </w:r>
            <w:r w:rsidR="0090626B" w:rsidRPr="00FD6A2B">
              <w:rPr>
                <w:color w:val="000000" w:themeColor="text1"/>
                <w:sz w:val="20"/>
                <w:szCs w:val="20"/>
              </w:rPr>
              <w:t>s</w:t>
            </w:r>
            <w:r w:rsidR="00A938FC" w:rsidRPr="00FD6A2B">
              <w:rPr>
                <w:color w:val="000000" w:themeColor="text1"/>
                <w:sz w:val="20"/>
                <w:szCs w:val="20"/>
              </w:rPr>
              <w:t xml:space="preserve">e </w:t>
            </w:r>
            <w:r w:rsidR="0090626B" w:rsidRPr="00FD6A2B">
              <w:rPr>
                <w:color w:val="000000" w:themeColor="text1"/>
                <w:sz w:val="20"/>
                <w:szCs w:val="20"/>
              </w:rPr>
              <w:t>va solicita</w:t>
            </w:r>
            <w:r w:rsidR="00A938FC" w:rsidRPr="00FD6A2B">
              <w:rPr>
                <w:color w:val="000000" w:themeColor="text1"/>
                <w:sz w:val="20"/>
                <w:szCs w:val="20"/>
              </w:rPr>
              <w:t xml:space="preserve"> punctul de vedere </w:t>
            </w:r>
          </w:p>
          <w:p w14:paraId="65768055" w14:textId="3DE1F8F2" w:rsidR="00E033EF" w:rsidRPr="00FD6A2B" w:rsidRDefault="00E033EF" w:rsidP="00146BB2">
            <w:pPr>
              <w:spacing w:after="60"/>
              <w:jc w:val="both"/>
              <w:rPr>
                <w:color w:val="000000" w:themeColor="text1"/>
                <w:sz w:val="20"/>
                <w:szCs w:val="20"/>
              </w:rPr>
            </w:pPr>
            <w:r w:rsidRPr="00FD6A2B">
              <w:rPr>
                <w:color w:val="000000" w:themeColor="text1"/>
                <w:sz w:val="20"/>
                <w:szCs w:val="20"/>
              </w:rPr>
              <w:t>A fost solicitat punctul de vedere al următoarelor autorități: Curtea de Conturi a României, Autoritatea de Audit din cadrul Curții de Conturi a României, Ministerul Afacerilor Externe, Consiliul Concurenței,</w:t>
            </w:r>
            <w:r w:rsidR="00CA6B42" w:rsidRPr="00FD6A2B">
              <w:rPr>
                <w:color w:val="000000" w:themeColor="text1"/>
                <w:sz w:val="20"/>
                <w:szCs w:val="20"/>
              </w:rPr>
              <w:t xml:space="preserve"> Agenția Națională pentru Achiziții Publice,</w:t>
            </w:r>
            <w:r w:rsidRPr="00FD6A2B">
              <w:rPr>
                <w:color w:val="000000" w:themeColor="text1"/>
                <w:sz w:val="20"/>
                <w:szCs w:val="20"/>
              </w:rPr>
              <w:t xml:space="preserve"> Departamentul pentru Lupta Antifraudă, Direcția </w:t>
            </w:r>
            <w:r w:rsidR="005C48D3" w:rsidRPr="00FD6A2B">
              <w:rPr>
                <w:color w:val="000000" w:themeColor="text1"/>
                <w:sz w:val="20"/>
                <w:szCs w:val="20"/>
              </w:rPr>
              <w:t>N</w:t>
            </w:r>
            <w:r w:rsidRPr="00FD6A2B">
              <w:rPr>
                <w:color w:val="000000" w:themeColor="text1"/>
                <w:sz w:val="20"/>
                <w:szCs w:val="20"/>
              </w:rPr>
              <w:t>ațională Anticorupție, Parchetul de pe Lângă Înalta Curte de Casație și Justiție</w:t>
            </w:r>
            <w:r w:rsidR="005C48D3" w:rsidRPr="00FD6A2B">
              <w:rPr>
                <w:color w:val="000000" w:themeColor="text1"/>
                <w:sz w:val="20"/>
                <w:szCs w:val="20"/>
              </w:rPr>
              <w:t>, Institutul Național de Cercetare Dezvoltare</w:t>
            </w:r>
            <w:r w:rsidR="006474B2" w:rsidRPr="00FD6A2B">
              <w:rPr>
                <w:color w:val="000000" w:themeColor="text1"/>
                <w:sz w:val="20"/>
                <w:szCs w:val="20"/>
              </w:rPr>
              <w:t xml:space="preserve"> pentru Fizică și Inginerie Nucleară</w:t>
            </w:r>
            <w:r w:rsidR="005C48D3" w:rsidRPr="00FD6A2B">
              <w:rPr>
                <w:color w:val="000000" w:themeColor="text1"/>
                <w:sz w:val="20"/>
                <w:szCs w:val="20"/>
              </w:rPr>
              <w:t xml:space="preserve"> Horia Hulubei</w:t>
            </w:r>
            <w:r w:rsidRPr="00FD6A2B">
              <w:rPr>
                <w:color w:val="000000" w:themeColor="text1"/>
                <w:sz w:val="20"/>
                <w:szCs w:val="20"/>
              </w:rPr>
              <w:t>.</w:t>
            </w:r>
          </w:p>
          <w:p w14:paraId="0D6F4F87" w14:textId="7AF970DB" w:rsidR="00770E01" w:rsidRPr="00FD6A2B" w:rsidRDefault="00770E01" w:rsidP="00146BB2">
            <w:pPr>
              <w:spacing w:after="60"/>
              <w:jc w:val="both"/>
              <w:rPr>
                <w:color w:val="000000" w:themeColor="text1"/>
                <w:sz w:val="20"/>
                <w:szCs w:val="20"/>
              </w:rPr>
            </w:pPr>
            <w:r w:rsidRPr="00FD6A2B">
              <w:rPr>
                <w:b/>
                <w:bCs/>
                <w:color w:val="000000" w:themeColor="text1"/>
                <w:sz w:val="20"/>
                <w:szCs w:val="20"/>
              </w:rPr>
              <w:t>6.6. Alte informații</w:t>
            </w:r>
            <w:r w:rsidR="00B73EBD" w:rsidRPr="00FD6A2B">
              <w:rPr>
                <w:b/>
                <w:bCs/>
                <w:color w:val="000000" w:themeColor="text1"/>
                <w:sz w:val="20"/>
                <w:szCs w:val="20"/>
              </w:rPr>
              <w:t xml:space="preserve"> - </w:t>
            </w:r>
          </w:p>
          <w:p w14:paraId="32E03757" w14:textId="3F661AB1" w:rsidR="00A87BEC" w:rsidRPr="00FD6A2B" w:rsidRDefault="00A9628C" w:rsidP="00146BB2">
            <w:pPr>
              <w:spacing w:after="60"/>
              <w:jc w:val="both"/>
              <w:rPr>
                <w:b/>
                <w:bCs/>
                <w:color w:val="000000" w:themeColor="text1"/>
                <w:sz w:val="20"/>
                <w:szCs w:val="20"/>
              </w:rPr>
            </w:pPr>
            <w:r w:rsidRPr="00FD6A2B">
              <w:rPr>
                <w:color w:val="000000" w:themeColor="text1"/>
                <w:sz w:val="20"/>
                <w:szCs w:val="20"/>
              </w:rPr>
              <w:t>Nu au fost identificate</w:t>
            </w:r>
            <w:r w:rsidR="00615991" w:rsidRPr="00FD6A2B">
              <w:rPr>
                <w:color w:val="000000" w:themeColor="text1"/>
                <w:sz w:val="20"/>
                <w:szCs w:val="20"/>
              </w:rPr>
              <w:t xml:space="preserve"> </w:t>
            </w:r>
          </w:p>
        </w:tc>
      </w:tr>
    </w:tbl>
    <w:p w14:paraId="16F9CAB5" w14:textId="77777777" w:rsidR="00FA5616" w:rsidRPr="00FD6A2B" w:rsidRDefault="00FA5616" w:rsidP="00FA5616">
      <w:pPr>
        <w:pStyle w:val="BodyTextIndent2"/>
        <w:spacing w:before="0" w:after="0" w:line="240" w:lineRule="auto"/>
        <w:ind w:right="101" w:firstLine="720"/>
        <w:jc w:val="both"/>
        <w:rPr>
          <w:bCs w:val="0"/>
          <w:color w:val="000000" w:themeColor="text1"/>
          <w:sz w:val="20"/>
          <w:szCs w:val="20"/>
        </w:rPr>
      </w:pPr>
    </w:p>
    <w:p w14:paraId="311858C9" w14:textId="7076C1E8" w:rsidR="00770E01" w:rsidRPr="00FD6A2B" w:rsidRDefault="00670C79" w:rsidP="00A21824">
      <w:pPr>
        <w:pStyle w:val="BodyTextIndent2"/>
        <w:spacing w:before="0" w:line="240" w:lineRule="auto"/>
        <w:ind w:right="98" w:firstLine="720"/>
        <w:jc w:val="both"/>
        <w:rPr>
          <w:bCs w:val="0"/>
          <w:color w:val="000000" w:themeColor="text1"/>
          <w:sz w:val="20"/>
          <w:szCs w:val="20"/>
        </w:rPr>
      </w:pPr>
      <w:r w:rsidRPr="00FD6A2B">
        <w:rPr>
          <w:bCs w:val="0"/>
          <w:color w:val="000000" w:themeColor="text1"/>
          <w:sz w:val="20"/>
          <w:szCs w:val="20"/>
        </w:rPr>
        <w:t xml:space="preserve">Secţiunea a 7-a  </w:t>
      </w:r>
    </w:p>
    <w:p w14:paraId="45DA67B7" w14:textId="070DA24F" w:rsidR="00260E13" w:rsidRPr="00FD6A2B" w:rsidRDefault="00670C79" w:rsidP="008838DB">
      <w:pPr>
        <w:pStyle w:val="BodyTextIndent2"/>
        <w:spacing w:before="0" w:line="240" w:lineRule="auto"/>
        <w:ind w:left="180" w:right="98" w:firstLine="540"/>
        <w:jc w:val="both"/>
        <w:rPr>
          <w:bCs w:val="0"/>
          <w:color w:val="000000" w:themeColor="text1"/>
          <w:sz w:val="20"/>
          <w:szCs w:val="20"/>
        </w:rPr>
      </w:pPr>
      <w:r w:rsidRPr="00FD6A2B">
        <w:rPr>
          <w:bCs w:val="0"/>
          <w:color w:val="000000" w:themeColor="text1"/>
          <w:sz w:val="20"/>
          <w:szCs w:val="20"/>
        </w:rPr>
        <w:t xml:space="preserve">Activităţi de informare publică privind elaborarea şi implementarea </w:t>
      </w:r>
      <w:bookmarkStart w:id="1" w:name="_Hlk100229941"/>
      <w:r w:rsidRPr="00FD6A2B">
        <w:rPr>
          <w:bCs w:val="0"/>
          <w:color w:val="000000" w:themeColor="text1"/>
          <w:sz w:val="20"/>
          <w:szCs w:val="20"/>
        </w:rPr>
        <w:t>proiectului de act normativ</w:t>
      </w:r>
      <w:bookmarkEnd w:id="1"/>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FD6A2B" w:rsidRPr="00FD6A2B" w14:paraId="416004E3" w14:textId="77777777" w:rsidTr="00D81420">
        <w:tc>
          <w:tcPr>
            <w:tcW w:w="10533" w:type="dxa"/>
          </w:tcPr>
          <w:p w14:paraId="29554504" w14:textId="3E86BEBC" w:rsidR="00770E01" w:rsidRPr="00FD6A2B" w:rsidRDefault="00770E01" w:rsidP="00146BB2">
            <w:pPr>
              <w:spacing w:after="60"/>
              <w:jc w:val="both"/>
              <w:rPr>
                <w:b/>
                <w:bCs/>
                <w:color w:val="000000" w:themeColor="text1"/>
                <w:sz w:val="20"/>
                <w:szCs w:val="20"/>
              </w:rPr>
            </w:pPr>
            <w:r w:rsidRPr="00FD6A2B">
              <w:rPr>
                <w:b/>
                <w:bCs/>
                <w:color w:val="000000" w:themeColor="text1"/>
                <w:sz w:val="20"/>
                <w:szCs w:val="20"/>
              </w:rPr>
              <w:t xml:space="preserve">7.1. </w:t>
            </w:r>
            <w:r w:rsidR="0053566B" w:rsidRPr="00FD6A2B">
              <w:rPr>
                <w:b/>
                <w:bCs/>
                <w:color w:val="000000" w:themeColor="text1"/>
                <w:sz w:val="20"/>
                <w:szCs w:val="20"/>
              </w:rPr>
              <w:t>Informarea societăţii civile cu privire la elaborarea proiectului de act normativ</w:t>
            </w:r>
          </w:p>
          <w:p w14:paraId="7ECA670A" w14:textId="1A52E2B7" w:rsidR="001A612C" w:rsidRPr="00FD6A2B" w:rsidRDefault="00B73EBD" w:rsidP="00146BB2">
            <w:pPr>
              <w:spacing w:after="60"/>
              <w:jc w:val="both"/>
              <w:rPr>
                <w:color w:val="000000" w:themeColor="text1"/>
                <w:sz w:val="20"/>
                <w:szCs w:val="20"/>
              </w:rPr>
            </w:pPr>
            <w:r w:rsidRPr="00FD6A2B">
              <w:rPr>
                <w:color w:val="000000" w:themeColor="text1"/>
                <w:sz w:val="20"/>
                <w:szCs w:val="20"/>
              </w:rPr>
              <w:t xml:space="preserve">Prezentul proiect de act normativ respectă prevederile art. 7 alin. (13) din Legea nr. 52/2003 privind transparența decizională în administrația publică, republicată, cu modificările și completările ulterioare, și a fost publicat pe pagina de internet a Ministerului Investițiilor și Proiectelor Europene la data de </w:t>
            </w:r>
            <w:r w:rsidR="00AC3FAF">
              <w:rPr>
                <w:color w:val="000000" w:themeColor="text1"/>
                <w:sz w:val="20"/>
                <w:szCs w:val="20"/>
              </w:rPr>
              <w:t>25.04.2023.</w:t>
            </w:r>
          </w:p>
          <w:p w14:paraId="3695E7F7" w14:textId="2A46A533" w:rsidR="0053566B" w:rsidRPr="00FD6A2B" w:rsidRDefault="0053566B" w:rsidP="00146BB2">
            <w:pPr>
              <w:spacing w:after="60"/>
              <w:jc w:val="both"/>
              <w:rPr>
                <w:b/>
                <w:bCs/>
                <w:color w:val="000000" w:themeColor="text1"/>
                <w:sz w:val="20"/>
                <w:szCs w:val="20"/>
              </w:rPr>
            </w:pPr>
            <w:r w:rsidRPr="00FD6A2B">
              <w:rPr>
                <w:b/>
                <w:bCs/>
                <w:color w:val="000000" w:themeColor="text1"/>
                <w:sz w:val="20"/>
                <w:szCs w:val="20"/>
              </w:rPr>
              <w:t>7.2. Informarea societăţii civile cu privire la e</w:t>
            </w:r>
            <w:r w:rsidR="008F6907" w:rsidRPr="00FD6A2B">
              <w:rPr>
                <w:b/>
                <w:bCs/>
                <w:color w:val="000000" w:themeColor="text1"/>
                <w:sz w:val="20"/>
                <w:szCs w:val="20"/>
              </w:rPr>
              <w:t>v</w:t>
            </w:r>
            <w:r w:rsidRPr="00FD6A2B">
              <w:rPr>
                <w:b/>
                <w:bCs/>
                <w:color w:val="000000" w:themeColor="text1"/>
                <w:sz w:val="20"/>
                <w:szCs w:val="20"/>
              </w:rPr>
              <w:t>entualul impact asupra mediului în urma implementării proiectului de act normativ, precum și efectele asupra sănătății și securității cetățenilor sau diversității biologice</w:t>
            </w:r>
          </w:p>
          <w:p w14:paraId="733C560A" w14:textId="1CE4A832" w:rsidR="00B73EBD" w:rsidRPr="00FD6A2B" w:rsidRDefault="00B73EBD" w:rsidP="00146BB2">
            <w:pPr>
              <w:spacing w:after="60"/>
              <w:jc w:val="both"/>
              <w:rPr>
                <w:b/>
                <w:bCs/>
                <w:color w:val="000000" w:themeColor="text1"/>
                <w:sz w:val="20"/>
                <w:szCs w:val="20"/>
              </w:rPr>
            </w:pPr>
            <w:r w:rsidRPr="00FD6A2B">
              <w:rPr>
                <w:color w:val="000000" w:themeColor="text1"/>
                <w:sz w:val="20"/>
                <w:szCs w:val="20"/>
              </w:rPr>
              <w:t>Proiectul de act normativ nu se referă la acest subiect.</w:t>
            </w:r>
          </w:p>
          <w:p w14:paraId="31FC7718" w14:textId="77777777" w:rsidR="008F6907" w:rsidRPr="00FD6A2B" w:rsidRDefault="008F6907" w:rsidP="00146BB2">
            <w:pPr>
              <w:spacing w:after="60"/>
              <w:jc w:val="both"/>
              <w:rPr>
                <w:b/>
                <w:bCs/>
                <w:color w:val="000000" w:themeColor="text1"/>
                <w:sz w:val="20"/>
                <w:szCs w:val="20"/>
              </w:rPr>
            </w:pPr>
            <w:r w:rsidRPr="00FD6A2B">
              <w:rPr>
                <w:b/>
                <w:bCs/>
                <w:color w:val="000000" w:themeColor="text1"/>
                <w:sz w:val="20"/>
                <w:szCs w:val="20"/>
              </w:rPr>
              <w:t>7.3. Alte informații</w:t>
            </w:r>
          </w:p>
          <w:p w14:paraId="6A2C5259" w14:textId="51010011" w:rsidR="00B73EBD" w:rsidRPr="00FD6A2B" w:rsidRDefault="00B73EBD" w:rsidP="00146BB2">
            <w:pPr>
              <w:spacing w:after="60"/>
              <w:jc w:val="both"/>
              <w:rPr>
                <w:b/>
                <w:bCs/>
                <w:color w:val="000000" w:themeColor="text1"/>
                <w:sz w:val="20"/>
                <w:szCs w:val="20"/>
              </w:rPr>
            </w:pPr>
            <w:r w:rsidRPr="00FD6A2B">
              <w:rPr>
                <w:color w:val="000000" w:themeColor="text1"/>
                <w:sz w:val="20"/>
                <w:szCs w:val="20"/>
              </w:rPr>
              <w:t>Nu au fost identificate</w:t>
            </w:r>
            <w:r w:rsidR="0090626B" w:rsidRPr="00FD6A2B">
              <w:rPr>
                <w:color w:val="000000" w:themeColor="text1"/>
                <w:sz w:val="20"/>
                <w:szCs w:val="20"/>
              </w:rPr>
              <w:t>.</w:t>
            </w:r>
          </w:p>
        </w:tc>
      </w:tr>
    </w:tbl>
    <w:p w14:paraId="0F684458" w14:textId="77777777" w:rsidR="00FA5616" w:rsidRPr="00FD6A2B" w:rsidRDefault="00FA5616" w:rsidP="00FA5616">
      <w:pPr>
        <w:ind w:firstLine="720"/>
        <w:rPr>
          <w:b/>
          <w:color w:val="000000" w:themeColor="text1"/>
          <w:sz w:val="20"/>
          <w:szCs w:val="20"/>
        </w:rPr>
      </w:pPr>
    </w:p>
    <w:p w14:paraId="341152AF" w14:textId="07E24B1D" w:rsidR="0053566B" w:rsidRPr="00FD6A2B" w:rsidRDefault="00670C79" w:rsidP="00A21824">
      <w:pPr>
        <w:spacing w:after="120"/>
        <w:ind w:firstLine="720"/>
        <w:rPr>
          <w:b/>
          <w:color w:val="000000" w:themeColor="text1"/>
          <w:sz w:val="20"/>
          <w:szCs w:val="20"/>
        </w:rPr>
      </w:pPr>
      <w:r w:rsidRPr="00FD6A2B">
        <w:rPr>
          <w:b/>
          <w:color w:val="000000" w:themeColor="text1"/>
          <w:sz w:val="20"/>
          <w:szCs w:val="20"/>
        </w:rPr>
        <w:t>Secţiunea a 8- a</w:t>
      </w:r>
      <w:r w:rsidR="002E20A6" w:rsidRPr="00FD6A2B">
        <w:rPr>
          <w:b/>
          <w:color w:val="000000" w:themeColor="text1"/>
          <w:sz w:val="20"/>
          <w:szCs w:val="20"/>
        </w:rPr>
        <w:t xml:space="preserve"> </w:t>
      </w:r>
      <w:r w:rsidRPr="00FD6A2B">
        <w:rPr>
          <w:b/>
          <w:color w:val="000000" w:themeColor="text1"/>
          <w:sz w:val="20"/>
          <w:szCs w:val="20"/>
        </w:rPr>
        <w:t xml:space="preserve"> </w:t>
      </w:r>
    </w:p>
    <w:p w14:paraId="3FBCA191" w14:textId="2A77164A" w:rsidR="00670C79" w:rsidRPr="00FD6A2B" w:rsidRDefault="00670C79" w:rsidP="008838DB">
      <w:pPr>
        <w:spacing w:after="120"/>
        <w:ind w:left="180" w:firstLine="540"/>
        <w:rPr>
          <w:b/>
          <w:color w:val="000000" w:themeColor="text1"/>
          <w:sz w:val="20"/>
          <w:szCs w:val="20"/>
        </w:rPr>
      </w:pPr>
      <w:r w:rsidRPr="00FD6A2B">
        <w:rPr>
          <w:b/>
          <w:color w:val="000000" w:themeColor="text1"/>
          <w:sz w:val="20"/>
          <w:szCs w:val="20"/>
        </w:rPr>
        <w:t xml:space="preserve">Măsuri </w:t>
      </w:r>
      <w:r w:rsidR="0053566B" w:rsidRPr="00FD6A2B">
        <w:rPr>
          <w:b/>
          <w:color w:val="000000" w:themeColor="text1"/>
          <w:sz w:val="20"/>
          <w:szCs w:val="20"/>
        </w:rPr>
        <w:t>privind</w:t>
      </w:r>
      <w:r w:rsidRPr="00FD6A2B">
        <w:rPr>
          <w:b/>
          <w:color w:val="000000" w:themeColor="text1"/>
          <w:sz w:val="20"/>
          <w:szCs w:val="20"/>
        </w:rPr>
        <w:t xml:space="preserve"> implementare</w:t>
      </w:r>
      <w:r w:rsidR="0053566B" w:rsidRPr="00FD6A2B">
        <w:rPr>
          <w:b/>
          <w:color w:val="000000" w:themeColor="text1"/>
          <w:sz w:val="20"/>
          <w:szCs w:val="20"/>
        </w:rPr>
        <w:t>a, monitorizarea și evaluarea proiectului de act normativ</w:t>
      </w:r>
    </w:p>
    <w:tbl>
      <w:tblPr>
        <w:tblW w:w="105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3"/>
      </w:tblGrid>
      <w:tr w:rsidR="00FD6A2B" w:rsidRPr="00FD6A2B" w14:paraId="554BFAFC" w14:textId="77777777" w:rsidTr="00D81420">
        <w:tc>
          <w:tcPr>
            <w:tcW w:w="10553" w:type="dxa"/>
          </w:tcPr>
          <w:p w14:paraId="560280B7" w14:textId="452BF905" w:rsidR="0053566B" w:rsidRPr="00FD6A2B" w:rsidRDefault="0053566B" w:rsidP="00146BB2">
            <w:pPr>
              <w:pStyle w:val="Heading1"/>
              <w:spacing w:after="60" w:line="240" w:lineRule="auto"/>
              <w:jc w:val="both"/>
              <w:rPr>
                <w:b/>
                <w:bCs/>
                <w:color w:val="000000" w:themeColor="text1"/>
                <w:sz w:val="20"/>
                <w:szCs w:val="20"/>
              </w:rPr>
            </w:pPr>
            <w:r w:rsidRPr="00FD6A2B">
              <w:rPr>
                <w:b/>
                <w:bCs/>
                <w:color w:val="000000" w:themeColor="text1"/>
                <w:sz w:val="20"/>
                <w:szCs w:val="20"/>
              </w:rPr>
              <w:t>8.1. Măsuri de punere în aplicare a proiectului de act normativ</w:t>
            </w:r>
          </w:p>
          <w:p w14:paraId="0EAADE0B" w14:textId="77777777" w:rsidR="00B73EBD" w:rsidRPr="00FD6A2B" w:rsidRDefault="00B73EBD" w:rsidP="00146BB2">
            <w:pPr>
              <w:spacing w:after="60"/>
              <w:jc w:val="both"/>
              <w:rPr>
                <w:b/>
                <w:bCs/>
                <w:color w:val="000000" w:themeColor="text1"/>
                <w:sz w:val="20"/>
                <w:szCs w:val="20"/>
              </w:rPr>
            </w:pPr>
            <w:r w:rsidRPr="00FD6A2B">
              <w:rPr>
                <w:color w:val="000000" w:themeColor="text1"/>
                <w:sz w:val="20"/>
                <w:szCs w:val="20"/>
              </w:rPr>
              <w:t>Proiectul de act normativ nu se referă la acest subiect.</w:t>
            </w:r>
          </w:p>
          <w:p w14:paraId="44723009" w14:textId="79637CEE" w:rsidR="0053566B" w:rsidRPr="00FD6A2B" w:rsidRDefault="0053566B" w:rsidP="00146BB2">
            <w:pPr>
              <w:spacing w:after="60"/>
              <w:rPr>
                <w:b/>
                <w:bCs/>
                <w:color w:val="000000" w:themeColor="text1"/>
                <w:sz w:val="20"/>
                <w:szCs w:val="20"/>
              </w:rPr>
            </w:pPr>
            <w:r w:rsidRPr="00FD6A2B">
              <w:rPr>
                <w:b/>
                <w:bCs/>
                <w:color w:val="000000" w:themeColor="text1"/>
                <w:sz w:val="20"/>
                <w:szCs w:val="20"/>
              </w:rPr>
              <w:t xml:space="preserve">8.2. Alte </w:t>
            </w:r>
            <w:r w:rsidR="00B73EBD" w:rsidRPr="00FD6A2B">
              <w:rPr>
                <w:b/>
                <w:bCs/>
                <w:color w:val="000000" w:themeColor="text1"/>
                <w:sz w:val="20"/>
                <w:szCs w:val="20"/>
              </w:rPr>
              <w:t>informații</w:t>
            </w:r>
          </w:p>
          <w:p w14:paraId="3837F202" w14:textId="758CC17C" w:rsidR="00B73EBD" w:rsidRPr="00FD6A2B" w:rsidRDefault="00B73EBD" w:rsidP="00146BB2">
            <w:pPr>
              <w:spacing w:after="60"/>
              <w:rPr>
                <w:color w:val="000000" w:themeColor="text1"/>
                <w:sz w:val="20"/>
                <w:szCs w:val="20"/>
              </w:rPr>
            </w:pPr>
            <w:r w:rsidRPr="00FD6A2B">
              <w:rPr>
                <w:color w:val="000000" w:themeColor="text1"/>
                <w:sz w:val="20"/>
                <w:szCs w:val="20"/>
              </w:rPr>
              <w:t>Nu au fost identificate</w:t>
            </w:r>
          </w:p>
        </w:tc>
      </w:tr>
    </w:tbl>
    <w:p w14:paraId="3B5DC161" w14:textId="5D64CB89" w:rsidR="005C3F28" w:rsidRPr="00FD6A2B" w:rsidRDefault="005C3F28" w:rsidP="001A612C">
      <w:pPr>
        <w:ind w:firstLine="720"/>
        <w:jc w:val="both"/>
        <w:rPr>
          <w:color w:val="000000" w:themeColor="text1"/>
          <w:sz w:val="20"/>
          <w:szCs w:val="20"/>
        </w:rPr>
      </w:pPr>
    </w:p>
    <w:p w14:paraId="09BBD38D" w14:textId="77777777" w:rsidR="001C737C" w:rsidRPr="00FD6A2B" w:rsidRDefault="001C737C" w:rsidP="001A612C">
      <w:pPr>
        <w:ind w:firstLine="720"/>
        <w:jc w:val="both"/>
        <w:rPr>
          <w:color w:val="000000" w:themeColor="text1"/>
          <w:sz w:val="20"/>
          <w:szCs w:val="20"/>
        </w:rPr>
        <w:sectPr w:rsidR="001C737C" w:rsidRPr="00FD6A2B" w:rsidSect="008E1534">
          <w:footerReference w:type="even" r:id="rId8"/>
          <w:footerReference w:type="default" r:id="rId9"/>
          <w:pgSz w:w="12240" w:h="15840"/>
          <w:pgMar w:top="737" w:right="851" w:bottom="360" w:left="851" w:header="709" w:footer="709" w:gutter="0"/>
          <w:cols w:space="708"/>
          <w:docGrid w:linePitch="360"/>
        </w:sectPr>
      </w:pPr>
    </w:p>
    <w:p w14:paraId="7EE13BCE" w14:textId="21C04367" w:rsidR="00B25E20" w:rsidRPr="00FD6A2B" w:rsidRDefault="00B25E20" w:rsidP="001A612C">
      <w:pPr>
        <w:ind w:firstLine="720"/>
        <w:jc w:val="both"/>
        <w:rPr>
          <w:color w:val="000000" w:themeColor="text1"/>
          <w:sz w:val="20"/>
          <w:szCs w:val="20"/>
        </w:rPr>
      </w:pPr>
    </w:p>
    <w:p w14:paraId="73614A19" w14:textId="13A553B5" w:rsidR="00EE0C75" w:rsidRDefault="00B36825" w:rsidP="003D079C">
      <w:pPr>
        <w:jc w:val="both"/>
        <w:rPr>
          <w:color w:val="000000" w:themeColor="text1"/>
          <w:sz w:val="20"/>
          <w:szCs w:val="20"/>
        </w:rPr>
      </w:pPr>
      <w:r w:rsidRPr="00FD6A2B">
        <w:rPr>
          <w:color w:val="000000" w:themeColor="text1"/>
          <w:sz w:val="20"/>
          <w:szCs w:val="20"/>
        </w:rPr>
        <w:t>Faț</w:t>
      </w:r>
      <w:r w:rsidR="00EE0C75" w:rsidRPr="00FD6A2B">
        <w:rPr>
          <w:color w:val="000000" w:themeColor="text1"/>
          <w:sz w:val="20"/>
          <w:szCs w:val="20"/>
        </w:rPr>
        <w:t xml:space="preserve">ă de cele prezentate, a fost promovată prezenta </w:t>
      </w:r>
      <w:r w:rsidR="003D079C" w:rsidRPr="00FD6A2B">
        <w:rPr>
          <w:b/>
          <w:bCs/>
          <w:color w:val="000000" w:themeColor="text1"/>
          <w:sz w:val="20"/>
          <w:szCs w:val="20"/>
        </w:rPr>
        <w:t xml:space="preserve">Ordonanță de </w:t>
      </w:r>
      <w:r w:rsidR="00D75430" w:rsidRPr="00FD6A2B">
        <w:rPr>
          <w:b/>
          <w:bCs/>
          <w:color w:val="000000" w:themeColor="text1"/>
          <w:sz w:val="20"/>
          <w:szCs w:val="20"/>
        </w:rPr>
        <w:t>u</w:t>
      </w:r>
      <w:r w:rsidR="003D079C" w:rsidRPr="00FD6A2B">
        <w:rPr>
          <w:b/>
          <w:bCs/>
          <w:color w:val="000000" w:themeColor="text1"/>
          <w:sz w:val="20"/>
          <w:szCs w:val="20"/>
        </w:rPr>
        <w:t xml:space="preserve">rgență </w:t>
      </w:r>
      <w:r w:rsidR="00D75430" w:rsidRPr="00FD6A2B">
        <w:rPr>
          <w:b/>
          <w:bCs/>
          <w:color w:val="000000" w:themeColor="text1"/>
          <w:sz w:val="20"/>
          <w:szCs w:val="20"/>
        </w:rPr>
        <w:t>a Guvernului</w:t>
      </w:r>
      <w:r w:rsidR="000676D6" w:rsidRPr="00FD6A2B">
        <w:rPr>
          <w:color w:val="000000" w:themeColor="text1"/>
          <w:sz w:val="20"/>
          <w:szCs w:val="20"/>
        </w:rPr>
        <w:t xml:space="preserve"> </w:t>
      </w:r>
      <w:r w:rsidR="00145BD2" w:rsidRPr="00FD6A2B">
        <w:rPr>
          <w:b/>
          <w:color w:val="000000" w:themeColor="text1"/>
          <w:sz w:val="20"/>
          <w:szCs w:val="20"/>
        </w:rPr>
        <w:t>privind stabilirea cadrului general pentru închiderea programelor operaționale finanțate în perioada de programare 2014-2020</w:t>
      </w:r>
      <w:r w:rsidR="00D75430" w:rsidRPr="00FD6A2B">
        <w:rPr>
          <w:color w:val="000000" w:themeColor="text1"/>
          <w:sz w:val="20"/>
          <w:szCs w:val="20"/>
        </w:rPr>
        <w:t xml:space="preserve">, </w:t>
      </w:r>
      <w:r w:rsidR="00EE0C75" w:rsidRPr="00FD6A2B">
        <w:rPr>
          <w:color w:val="000000" w:themeColor="text1"/>
          <w:sz w:val="20"/>
          <w:szCs w:val="20"/>
        </w:rPr>
        <w:t>care, în forma prezentată, a fost avizat</w:t>
      </w:r>
      <w:r w:rsidR="00FD6A2B">
        <w:rPr>
          <w:color w:val="000000" w:themeColor="text1"/>
          <w:sz w:val="20"/>
          <w:szCs w:val="20"/>
        </w:rPr>
        <w:t>ă</w:t>
      </w:r>
      <w:r w:rsidR="00EE0C75" w:rsidRPr="00FD6A2B">
        <w:rPr>
          <w:color w:val="000000" w:themeColor="text1"/>
          <w:sz w:val="20"/>
          <w:szCs w:val="20"/>
        </w:rPr>
        <w:t xml:space="preserve"> de ministerele și instituțiile interesate și de Consiliul Legislativ și pe care </w:t>
      </w:r>
      <w:r w:rsidR="00FD6A2B">
        <w:rPr>
          <w:color w:val="000000" w:themeColor="text1"/>
          <w:sz w:val="20"/>
          <w:szCs w:val="20"/>
        </w:rPr>
        <w:t>o</w:t>
      </w:r>
      <w:r w:rsidR="00EE0C75" w:rsidRPr="00FD6A2B">
        <w:rPr>
          <w:color w:val="000000" w:themeColor="text1"/>
          <w:sz w:val="20"/>
          <w:szCs w:val="20"/>
        </w:rPr>
        <w:t xml:space="preserve"> supunem spre adoptare.</w:t>
      </w:r>
    </w:p>
    <w:p w14:paraId="367B5995" w14:textId="77777777" w:rsidR="00FD6A2B" w:rsidRDefault="00FD6A2B" w:rsidP="003D079C">
      <w:pPr>
        <w:jc w:val="both"/>
        <w:rPr>
          <w:color w:val="000000" w:themeColor="text1"/>
          <w:sz w:val="20"/>
          <w:szCs w:val="20"/>
        </w:rPr>
      </w:pPr>
    </w:p>
    <w:p w14:paraId="43FAEB47" w14:textId="77777777" w:rsidR="00FD6A2B" w:rsidRDefault="00FD6A2B" w:rsidP="00FD6A2B">
      <w:pPr>
        <w:ind w:firstLine="720"/>
        <w:jc w:val="both"/>
        <w:rPr>
          <w:color w:val="000000"/>
        </w:rPr>
      </w:pPr>
    </w:p>
    <w:p w14:paraId="5E3D6F4D" w14:textId="77777777" w:rsidR="00DC7D32" w:rsidRPr="00FD6A2B" w:rsidRDefault="00DC7D32" w:rsidP="003D079C">
      <w:pPr>
        <w:jc w:val="both"/>
        <w:rPr>
          <w:color w:val="000000" w:themeColor="text1"/>
          <w:sz w:val="20"/>
          <w:szCs w:val="20"/>
        </w:rPr>
      </w:pPr>
    </w:p>
    <w:tbl>
      <w:tblPr>
        <w:tblStyle w:val="TableGrid"/>
        <w:tblW w:w="0" w:type="auto"/>
        <w:tblLook w:val="04A0" w:firstRow="1" w:lastRow="0" w:firstColumn="1" w:lastColumn="0" w:noHBand="0" w:noVBand="1"/>
      </w:tblPr>
      <w:tblGrid>
        <w:gridCol w:w="5264"/>
        <w:gridCol w:w="5264"/>
      </w:tblGrid>
      <w:tr w:rsidR="00FD6A2B" w:rsidRPr="00FD6A2B" w14:paraId="04F08C52" w14:textId="77777777" w:rsidTr="003F73F9">
        <w:tc>
          <w:tcPr>
            <w:tcW w:w="10528" w:type="dxa"/>
            <w:gridSpan w:val="2"/>
            <w:tcBorders>
              <w:top w:val="nil"/>
              <w:left w:val="nil"/>
              <w:bottom w:val="nil"/>
              <w:right w:val="nil"/>
            </w:tcBorders>
          </w:tcPr>
          <w:p w14:paraId="2A29761B" w14:textId="77777777" w:rsidR="003A7757" w:rsidRPr="00FD6A2B" w:rsidRDefault="003A7757" w:rsidP="00574F97">
            <w:pPr>
              <w:spacing w:after="120"/>
              <w:jc w:val="center"/>
              <w:rPr>
                <w:b/>
                <w:bCs/>
                <w:color w:val="000000" w:themeColor="text1"/>
                <w:sz w:val="20"/>
                <w:szCs w:val="20"/>
              </w:rPr>
            </w:pPr>
            <w:r w:rsidRPr="00FD6A2B">
              <w:rPr>
                <w:b/>
                <w:bCs/>
                <w:color w:val="000000" w:themeColor="text1"/>
                <w:sz w:val="20"/>
                <w:szCs w:val="20"/>
              </w:rPr>
              <w:t>MINISTRUL INVESTIȚIILOR ȘI PROIECTELOR EUROPENE</w:t>
            </w:r>
          </w:p>
          <w:p w14:paraId="6D0B9DC0" w14:textId="77777777" w:rsidR="003A7757" w:rsidRPr="00FD6A2B" w:rsidRDefault="003A7757" w:rsidP="00574F97">
            <w:pPr>
              <w:spacing w:after="120"/>
              <w:jc w:val="center"/>
              <w:rPr>
                <w:b/>
                <w:bCs/>
                <w:color w:val="000000" w:themeColor="text1"/>
                <w:sz w:val="20"/>
                <w:szCs w:val="20"/>
              </w:rPr>
            </w:pPr>
          </w:p>
          <w:p w14:paraId="60D482BB" w14:textId="280F4660" w:rsidR="003A7757" w:rsidRPr="00FD6A2B" w:rsidRDefault="003A7757" w:rsidP="00574F97">
            <w:pPr>
              <w:spacing w:after="120"/>
              <w:jc w:val="center"/>
              <w:rPr>
                <w:b/>
                <w:bCs/>
                <w:color w:val="000000" w:themeColor="text1"/>
                <w:sz w:val="20"/>
                <w:szCs w:val="20"/>
              </w:rPr>
            </w:pPr>
            <w:r w:rsidRPr="00FD6A2B">
              <w:rPr>
                <w:b/>
                <w:bCs/>
                <w:color w:val="000000" w:themeColor="text1"/>
                <w:sz w:val="20"/>
                <w:szCs w:val="20"/>
              </w:rPr>
              <w:t>Marcel-Ioan BOLOȘ</w:t>
            </w:r>
          </w:p>
          <w:p w14:paraId="6AE59776" w14:textId="370BB5FC" w:rsidR="003A7757" w:rsidRPr="00FD6A2B" w:rsidRDefault="003A7757" w:rsidP="00832E69">
            <w:pPr>
              <w:autoSpaceDE w:val="0"/>
              <w:autoSpaceDN w:val="0"/>
              <w:adjustRightInd w:val="0"/>
              <w:spacing w:after="120"/>
              <w:jc w:val="center"/>
              <w:rPr>
                <w:b/>
                <w:bCs/>
                <w:color w:val="000000" w:themeColor="text1"/>
                <w:sz w:val="20"/>
                <w:szCs w:val="20"/>
              </w:rPr>
            </w:pPr>
          </w:p>
        </w:tc>
      </w:tr>
      <w:tr w:rsidR="00FD6A2B" w:rsidRPr="00FD6A2B" w14:paraId="2DC423B1" w14:textId="77777777" w:rsidTr="003F73F9">
        <w:tc>
          <w:tcPr>
            <w:tcW w:w="10528" w:type="dxa"/>
            <w:gridSpan w:val="2"/>
            <w:tcBorders>
              <w:top w:val="nil"/>
              <w:left w:val="nil"/>
              <w:bottom w:val="nil"/>
              <w:right w:val="nil"/>
            </w:tcBorders>
          </w:tcPr>
          <w:p w14:paraId="43AD4C89" w14:textId="77777777" w:rsidR="00574F97" w:rsidRPr="00FD6A2B" w:rsidRDefault="00574F97" w:rsidP="00574F97">
            <w:pPr>
              <w:spacing w:after="120"/>
              <w:ind w:left="720" w:hanging="720"/>
              <w:jc w:val="center"/>
              <w:rPr>
                <w:b/>
                <w:bCs/>
                <w:color w:val="000000" w:themeColor="text1"/>
                <w:sz w:val="20"/>
                <w:szCs w:val="20"/>
              </w:rPr>
            </w:pPr>
            <w:r w:rsidRPr="00FD6A2B">
              <w:rPr>
                <w:b/>
                <w:bCs/>
                <w:color w:val="000000" w:themeColor="text1"/>
                <w:sz w:val="20"/>
                <w:szCs w:val="20"/>
              </w:rPr>
              <w:t>Avizatori:</w:t>
            </w:r>
          </w:p>
          <w:p w14:paraId="1E90A2D9" w14:textId="2B00403E" w:rsidR="006023DC" w:rsidRPr="00FD6A2B" w:rsidRDefault="006023DC" w:rsidP="00574F97">
            <w:pPr>
              <w:spacing w:after="120"/>
              <w:ind w:left="720" w:hanging="720"/>
              <w:jc w:val="center"/>
              <w:rPr>
                <w:b/>
                <w:bCs/>
                <w:color w:val="000000" w:themeColor="text1"/>
                <w:sz w:val="20"/>
                <w:szCs w:val="20"/>
              </w:rPr>
            </w:pPr>
          </w:p>
        </w:tc>
      </w:tr>
      <w:tr w:rsidR="00FD6A2B" w:rsidRPr="00FD6A2B" w14:paraId="2C606DF4" w14:textId="77777777" w:rsidTr="003F73F9">
        <w:tc>
          <w:tcPr>
            <w:tcW w:w="10528" w:type="dxa"/>
            <w:gridSpan w:val="2"/>
            <w:tcBorders>
              <w:top w:val="nil"/>
              <w:left w:val="nil"/>
              <w:bottom w:val="nil"/>
              <w:right w:val="nil"/>
            </w:tcBorders>
          </w:tcPr>
          <w:p w14:paraId="1103E43A" w14:textId="77777777" w:rsidR="00B450F8" w:rsidRPr="00FD6A2B" w:rsidRDefault="00B450F8" w:rsidP="00B450F8">
            <w:pPr>
              <w:autoSpaceDE w:val="0"/>
              <w:autoSpaceDN w:val="0"/>
              <w:adjustRightInd w:val="0"/>
              <w:spacing w:after="120"/>
              <w:jc w:val="center"/>
              <w:rPr>
                <w:b/>
                <w:bCs/>
                <w:color w:val="000000" w:themeColor="text1"/>
                <w:sz w:val="20"/>
                <w:szCs w:val="20"/>
              </w:rPr>
            </w:pPr>
            <w:r w:rsidRPr="00FD6A2B">
              <w:rPr>
                <w:b/>
                <w:bCs/>
                <w:color w:val="000000" w:themeColor="text1"/>
                <w:sz w:val="20"/>
                <w:szCs w:val="20"/>
              </w:rPr>
              <w:t>VICEPRIM-MINISTRU,</w:t>
            </w:r>
          </w:p>
          <w:p w14:paraId="5D573B04" w14:textId="77777777" w:rsidR="00B450F8" w:rsidRPr="00FD6A2B" w:rsidRDefault="00B450F8" w:rsidP="00B450F8">
            <w:pPr>
              <w:autoSpaceDE w:val="0"/>
              <w:autoSpaceDN w:val="0"/>
              <w:adjustRightInd w:val="0"/>
              <w:spacing w:after="120"/>
              <w:jc w:val="center"/>
              <w:rPr>
                <w:b/>
                <w:bCs/>
                <w:color w:val="000000" w:themeColor="text1"/>
                <w:sz w:val="20"/>
                <w:szCs w:val="20"/>
              </w:rPr>
            </w:pPr>
            <w:r w:rsidRPr="00FD6A2B">
              <w:rPr>
                <w:b/>
                <w:bCs/>
                <w:color w:val="000000" w:themeColor="text1"/>
                <w:sz w:val="20"/>
                <w:szCs w:val="20"/>
              </w:rPr>
              <w:t xml:space="preserve">MINISTRUL TRANSPORTURILOR ŞI INFRASTRUCTURII </w:t>
            </w:r>
          </w:p>
          <w:p w14:paraId="76800043" w14:textId="77777777" w:rsidR="00B450F8" w:rsidRPr="00FD6A2B" w:rsidRDefault="00B450F8" w:rsidP="00B450F8">
            <w:pPr>
              <w:autoSpaceDE w:val="0"/>
              <w:autoSpaceDN w:val="0"/>
              <w:adjustRightInd w:val="0"/>
              <w:spacing w:after="120"/>
              <w:jc w:val="center"/>
              <w:rPr>
                <w:b/>
                <w:bCs/>
                <w:color w:val="000000" w:themeColor="text1"/>
                <w:sz w:val="20"/>
                <w:szCs w:val="20"/>
              </w:rPr>
            </w:pPr>
          </w:p>
          <w:p w14:paraId="2796F530" w14:textId="77777777" w:rsidR="00B450F8" w:rsidRPr="00FD6A2B" w:rsidRDefault="00B450F8" w:rsidP="00B450F8">
            <w:pPr>
              <w:autoSpaceDE w:val="0"/>
              <w:autoSpaceDN w:val="0"/>
              <w:adjustRightInd w:val="0"/>
              <w:spacing w:after="120"/>
              <w:jc w:val="center"/>
              <w:rPr>
                <w:b/>
                <w:bCs/>
                <w:color w:val="000000" w:themeColor="text1"/>
                <w:sz w:val="20"/>
                <w:szCs w:val="20"/>
              </w:rPr>
            </w:pPr>
            <w:r w:rsidRPr="00FD6A2B">
              <w:rPr>
                <w:b/>
                <w:bCs/>
                <w:color w:val="000000" w:themeColor="text1"/>
                <w:sz w:val="20"/>
                <w:szCs w:val="20"/>
              </w:rPr>
              <w:t>Sorin Mihai GRINDEANU</w:t>
            </w:r>
          </w:p>
          <w:p w14:paraId="533B7E13" w14:textId="77777777" w:rsidR="00B450F8" w:rsidRPr="00FD6A2B" w:rsidRDefault="00B450F8" w:rsidP="00B97479">
            <w:pPr>
              <w:spacing w:after="120"/>
              <w:jc w:val="center"/>
              <w:rPr>
                <w:b/>
                <w:bCs/>
                <w:color w:val="000000" w:themeColor="text1"/>
                <w:sz w:val="20"/>
                <w:szCs w:val="20"/>
              </w:rPr>
            </w:pPr>
          </w:p>
        </w:tc>
      </w:tr>
      <w:tr w:rsidR="00FD6A2B" w:rsidRPr="00FD6A2B" w14:paraId="2410EA1D" w14:textId="77777777" w:rsidTr="003F73F9">
        <w:tc>
          <w:tcPr>
            <w:tcW w:w="5264" w:type="dxa"/>
            <w:tcBorders>
              <w:top w:val="nil"/>
              <w:left w:val="nil"/>
              <w:bottom w:val="nil"/>
              <w:right w:val="nil"/>
            </w:tcBorders>
          </w:tcPr>
          <w:p w14:paraId="0F249869" w14:textId="77777777" w:rsidR="00B450F8" w:rsidRPr="00FD6A2B" w:rsidRDefault="00B450F8" w:rsidP="00B450F8">
            <w:pPr>
              <w:spacing w:after="120"/>
              <w:jc w:val="center"/>
              <w:rPr>
                <w:b/>
                <w:bCs/>
                <w:color w:val="000000" w:themeColor="text1"/>
                <w:sz w:val="20"/>
                <w:szCs w:val="20"/>
              </w:rPr>
            </w:pPr>
            <w:r w:rsidRPr="00FD6A2B">
              <w:rPr>
                <w:b/>
                <w:bCs/>
                <w:color w:val="000000" w:themeColor="text1"/>
                <w:sz w:val="20"/>
                <w:szCs w:val="20"/>
              </w:rPr>
              <w:t>MINISTRUL DEZVOLTĂRII, LUCRĂRILOR PUBLICE ȘI ADMINISTRAȚIEI</w:t>
            </w:r>
          </w:p>
          <w:p w14:paraId="09F7BA95" w14:textId="77777777" w:rsidR="00B450F8" w:rsidRPr="00FD6A2B" w:rsidRDefault="00B450F8" w:rsidP="00B450F8">
            <w:pPr>
              <w:jc w:val="center"/>
              <w:rPr>
                <w:b/>
                <w:bCs/>
                <w:color w:val="000000" w:themeColor="text1"/>
                <w:sz w:val="20"/>
                <w:szCs w:val="20"/>
              </w:rPr>
            </w:pPr>
          </w:p>
          <w:p w14:paraId="7FBD8FB6" w14:textId="77777777" w:rsidR="00B450F8" w:rsidRPr="00FD6A2B" w:rsidRDefault="00B450F8" w:rsidP="00B450F8">
            <w:pPr>
              <w:jc w:val="center"/>
              <w:rPr>
                <w:b/>
                <w:bCs/>
                <w:color w:val="000000" w:themeColor="text1"/>
                <w:sz w:val="20"/>
                <w:szCs w:val="20"/>
              </w:rPr>
            </w:pPr>
            <w:r w:rsidRPr="00FD6A2B">
              <w:rPr>
                <w:b/>
                <w:bCs/>
                <w:color w:val="000000" w:themeColor="text1"/>
                <w:sz w:val="20"/>
                <w:szCs w:val="20"/>
              </w:rPr>
              <w:t>Attila-Zoltán CSEKE</w:t>
            </w:r>
          </w:p>
          <w:p w14:paraId="0A66F552" w14:textId="77777777" w:rsidR="00B450F8" w:rsidRPr="00FD6A2B" w:rsidRDefault="00B450F8" w:rsidP="00B450F8">
            <w:pPr>
              <w:autoSpaceDE w:val="0"/>
              <w:autoSpaceDN w:val="0"/>
              <w:adjustRightInd w:val="0"/>
              <w:spacing w:after="120"/>
              <w:jc w:val="center"/>
              <w:rPr>
                <w:b/>
                <w:bCs/>
                <w:color w:val="000000" w:themeColor="text1"/>
                <w:sz w:val="20"/>
                <w:szCs w:val="20"/>
              </w:rPr>
            </w:pPr>
          </w:p>
        </w:tc>
        <w:tc>
          <w:tcPr>
            <w:tcW w:w="5264" w:type="dxa"/>
            <w:tcBorders>
              <w:top w:val="nil"/>
              <w:left w:val="nil"/>
              <w:bottom w:val="nil"/>
              <w:right w:val="nil"/>
            </w:tcBorders>
          </w:tcPr>
          <w:p w14:paraId="263F320E" w14:textId="77777777" w:rsidR="00B450F8" w:rsidRPr="00FD6A2B" w:rsidRDefault="00B450F8" w:rsidP="00B450F8">
            <w:pPr>
              <w:autoSpaceDE w:val="0"/>
              <w:autoSpaceDN w:val="0"/>
              <w:adjustRightInd w:val="0"/>
              <w:spacing w:after="120"/>
              <w:jc w:val="center"/>
              <w:rPr>
                <w:b/>
                <w:bCs/>
                <w:color w:val="000000" w:themeColor="text1"/>
                <w:sz w:val="20"/>
                <w:szCs w:val="20"/>
              </w:rPr>
            </w:pPr>
            <w:r w:rsidRPr="00FD6A2B">
              <w:rPr>
                <w:b/>
                <w:bCs/>
                <w:color w:val="000000" w:themeColor="text1"/>
                <w:sz w:val="20"/>
                <w:szCs w:val="20"/>
              </w:rPr>
              <w:t>MINISTRUL AGRICULTURII ŞI DEZVOLTĂRII RURALE</w:t>
            </w:r>
          </w:p>
          <w:p w14:paraId="616FFD27" w14:textId="77777777" w:rsidR="00B450F8" w:rsidRPr="00FD6A2B" w:rsidRDefault="00B450F8" w:rsidP="00B450F8">
            <w:pPr>
              <w:autoSpaceDE w:val="0"/>
              <w:autoSpaceDN w:val="0"/>
              <w:adjustRightInd w:val="0"/>
              <w:spacing w:after="120"/>
              <w:jc w:val="center"/>
              <w:rPr>
                <w:b/>
                <w:bCs/>
                <w:color w:val="000000" w:themeColor="text1"/>
                <w:sz w:val="20"/>
                <w:szCs w:val="20"/>
              </w:rPr>
            </w:pPr>
          </w:p>
          <w:p w14:paraId="204FB89B" w14:textId="77777777" w:rsidR="00B450F8" w:rsidRPr="00FD6A2B" w:rsidRDefault="00B450F8" w:rsidP="00B450F8">
            <w:pPr>
              <w:autoSpaceDE w:val="0"/>
              <w:autoSpaceDN w:val="0"/>
              <w:adjustRightInd w:val="0"/>
              <w:spacing w:after="120"/>
              <w:jc w:val="center"/>
              <w:rPr>
                <w:b/>
                <w:bCs/>
                <w:color w:val="000000" w:themeColor="text1"/>
                <w:sz w:val="20"/>
                <w:szCs w:val="20"/>
              </w:rPr>
            </w:pPr>
            <w:r w:rsidRPr="00FD6A2B">
              <w:rPr>
                <w:b/>
                <w:bCs/>
                <w:color w:val="000000" w:themeColor="text1"/>
                <w:sz w:val="20"/>
                <w:szCs w:val="20"/>
              </w:rPr>
              <w:t xml:space="preserve">Petre DAEA </w:t>
            </w:r>
          </w:p>
          <w:p w14:paraId="2ADE0FCD" w14:textId="77777777" w:rsidR="00B450F8" w:rsidRPr="00FD6A2B" w:rsidRDefault="00B450F8" w:rsidP="00B450F8">
            <w:pPr>
              <w:spacing w:after="120"/>
              <w:jc w:val="center"/>
              <w:rPr>
                <w:b/>
                <w:bCs/>
                <w:color w:val="000000" w:themeColor="text1"/>
                <w:sz w:val="20"/>
                <w:szCs w:val="20"/>
              </w:rPr>
            </w:pPr>
          </w:p>
        </w:tc>
      </w:tr>
      <w:tr w:rsidR="00FD6A2B" w:rsidRPr="00FD6A2B" w14:paraId="394E615A" w14:textId="77777777" w:rsidTr="00C4342F">
        <w:trPr>
          <w:trHeight w:val="1414"/>
        </w:trPr>
        <w:tc>
          <w:tcPr>
            <w:tcW w:w="5264" w:type="dxa"/>
            <w:tcBorders>
              <w:top w:val="nil"/>
              <w:left w:val="nil"/>
              <w:bottom w:val="nil"/>
              <w:right w:val="nil"/>
            </w:tcBorders>
          </w:tcPr>
          <w:p w14:paraId="3D84EC84" w14:textId="77777777" w:rsidR="00B450F8" w:rsidRPr="00FD6A2B" w:rsidRDefault="00B450F8" w:rsidP="00B450F8">
            <w:pPr>
              <w:autoSpaceDE w:val="0"/>
              <w:autoSpaceDN w:val="0"/>
              <w:adjustRightInd w:val="0"/>
              <w:spacing w:after="120"/>
              <w:jc w:val="center"/>
              <w:rPr>
                <w:b/>
                <w:bCs/>
                <w:color w:val="000000" w:themeColor="text1"/>
                <w:sz w:val="20"/>
                <w:szCs w:val="20"/>
              </w:rPr>
            </w:pPr>
            <w:r w:rsidRPr="00FD6A2B">
              <w:rPr>
                <w:b/>
                <w:bCs/>
                <w:color w:val="000000" w:themeColor="text1"/>
                <w:sz w:val="20"/>
                <w:szCs w:val="20"/>
              </w:rPr>
              <w:t>MINISTRUL CERCETĂRII, INOVĂRII ȘI DIGITALIZĂRII</w:t>
            </w:r>
          </w:p>
          <w:p w14:paraId="2F724E49" w14:textId="77777777" w:rsidR="00B450F8" w:rsidRPr="00FD6A2B" w:rsidRDefault="00B450F8" w:rsidP="00B450F8">
            <w:pPr>
              <w:autoSpaceDE w:val="0"/>
              <w:autoSpaceDN w:val="0"/>
              <w:adjustRightInd w:val="0"/>
              <w:spacing w:after="120"/>
              <w:jc w:val="center"/>
              <w:rPr>
                <w:b/>
                <w:bCs/>
                <w:color w:val="000000" w:themeColor="text1"/>
                <w:sz w:val="20"/>
                <w:szCs w:val="20"/>
              </w:rPr>
            </w:pPr>
          </w:p>
          <w:p w14:paraId="28CF3633" w14:textId="77777777" w:rsidR="00B450F8" w:rsidRPr="00FD6A2B" w:rsidRDefault="00B450F8" w:rsidP="00B450F8">
            <w:pPr>
              <w:autoSpaceDE w:val="0"/>
              <w:autoSpaceDN w:val="0"/>
              <w:adjustRightInd w:val="0"/>
              <w:spacing w:after="120"/>
              <w:jc w:val="center"/>
              <w:rPr>
                <w:b/>
                <w:bCs/>
                <w:color w:val="000000" w:themeColor="text1"/>
                <w:sz w:val="20"/>
                <w:szCs w:val="20"/>
              </w:rPr>
            </w:pPr>
            <w:r w:rsidRPr="00FD6A2B">
              <w:rPr>
                <w:b/>
                <w:bCs/>
                <w:color w:val="000000" w:themeColor="text1"/>
                <w:sz w:val="20"/>
                <w:szCs w:val="20"/>
              </w:rPr>
              <w:t>Sebastian-Ioan BURDUJA</w:t>
            </w:r>
          </w:p>
          <w:p w14:paraId="5712D86D" w14:textId="1CEC1ADC" w:rsidR="003A7757" w:rsidRPr="00FD6A2B" w:rsidRDefault="003A7757" w:rsidP="00B450F8">
            <w:pPr>
              <w:autoSpaceDE w:val="0"/>
              <w:autoSpaceDN w:val="0"/>
              <w:adjustRightInd w:val="0"/>
              <w:spacing w:after="120"/>
              <w:jc w:val="center"/>
              <w:rPr>
                <w:b/>
                <w:bCs/>
                <w:color w:val="000000" w:themeColor="text1"/>
                <w:sz w:val="20"/>
                <w:szCs w:val="20"/>
              </w:rPr>
            </w:pPr>
          </w:p>
        </w:tc>
        <w:tc>
          <w:tcPr>
            <w:tcW w:w="5264" w:type="dxa"/>
            <w:tcBorders>
              <w:top w:val="nil"/>
              <w:left w:val="nil"/>
              <w:bottom w:val="nil"/>
              <w:right w:val="nil"/>
            </w:tcBorders>
          </w:tcPr>
          <w:p w14:paraId="278E976A" w14:textId="77777777" w:rsidR="00C4342F" w:rsidRPr="00FD6A2B" w:rsidRDefault="00C4342F" w:rsidP="00C4342F">
            <w:pPr>
              <w:autoSpaceDE w:val="0"/>
              <w:autoSpaceDN w:val="0"/>
              <w:adjustRightInd w:val="0"/>
              <w:spacing w:after="120"/>
              <w:jc w:val="center"/>
              <w:rPr>
                <w:b/>
                <w:bCs/>
                <w:color w:val="000000" w:themeColor="text1"/>
                <w:sz w:val="20"/>
                <w:szCs w:val="20"/>
              </w:rPr>
            </w:pPr>
            <w:r w:rsidRPr="00FD6A2B">
              <w:rPr>
                <w:b/>
                <w:bCs/>
                <w:color w:val="000000" w:themeColor="text1"/>
                <w:sz w:val="20"/>
                <w:szCs w:val="20"/>
              </w:rPr>
              <w:t>MINISTRUL FINANȚELOR</w:t>
            </w:r>
          </w:p>
          <w:p w14:paraId="0905A9C3" w14:textId="24537BDA" w:rsidR="00B450F8" w:rsidRPr="00FD6A2B" w:rsidRDefault="00C4342F" w:rsidP="00C4342F">
            <w:pPr>
              <w:autoSpaceDE w:val="0"/>
              <w:autoSpaceDN w:val="0"/>
              <w:adjustRightInd w:val="0"/>
              <w:spacing w:after="120"/>
              <w:jc w:val="center"/>
              <w:rPr>
                <w:b/>
                <w:bCs/>
                <w:color w:val="000000" w:themeColor="text1"/>
                <w:sz w:val="20"/>
                <w:szCs w:val="20"/>
              </w:rPr>
            </w:pPr>
            <w:r w:rsidRPr="00FD6A2B">
              <w:rPr>
                <w:b/>
                <w:bCs/>
                <w:color w:val="000000" w:themeColor="text1"/>
                <w:sz w:val="20"/>
                <w:szCs w:val="20"/>
              </w:rPr>
              <w:t>Adrian CÂCIU</w:t>
            </w:r>
          </w:p>
        </w:tc>
      </w:tr>
      <w:tr w:rsidR="00C4342F" w:rsidRPr="00FD6A2B" w14:paraId="08328465" w14:textId="77777777" w:rsidTr="00250575">
        <w:tc>
          <w:tcPr>
            <w:tcW w:w="10528" w:type="dxa"/>
            <w:gridSpan w:val="2"/>
            <w:tcBorders>
              <w:top w:val="nil"/>
              <w:left w:val="nil"/>
              <w:bottom w:val="nil"/>
              <w:right w:val="nil"/>
            </w:tcBorders>
          </w:tcPr>
          <w:p w14:paraId="2EF69F83" w14:textId="77777777" w:rsidR="00C4342F" w:rsidRPr="00FD6A2B" w:rsidRDefault="00C4342F" w:rsidP="00B450F8">
            <w:pPr>
              <w:autoSpaceDE w:val="0"/>
              <w:autoSpaceDN w:val="0"/>
              <w:adjustRightInd w:val="0"/>
              <w:spacing w:after="120"/>
              <w:jc w:val="center"/>
              <w:rPr>
                <w:b/>
                <w:bCs/>
                <w:color w:val="000000" w:themeColor="text1"/>
                <w:sz w:val="20"/>
                <w:szCs w:val="20"/>
              </w:rPr>
            </w:pPr>
            <w:r w:rsidRPr="00FD6A2B">
              <w:rPr>
                <w:b/>
                <w:bCs/>
                <w:color w:val="000000" w:themeColor="text1"/>
                <w:sz w:val="20"/>
                <w:szCs w:val="20"/>
              </w:rPr>
              <w:t>MINISTRUL JUSTIȚIEI</w:t>
            </w:r>
          </w:p>
          <w:p w14:paraId="446595D9" w14:textId="46522314" w:rsidR="00C4342F" w:rsidRPr="00FD6A2B" w:rsidRDefault="00C4342F" w:rsidP="00B450F8">
            <w:pPr>
              <w:autoSpaceDE w:val="0"/>
              <w:autoSpaceDN w:val="0"/>
              <w:adjustRightInd w:val="0"/>
              <w:spacing w:after="120"/>
              <w:jc w:val="center"/>
              <w:rPr>
                <w:b/>
                <w:bCs/>
                <w:color w:val="000000" w:themeColor="text1"/>
                <w:sz w:val="20"/>
                <w:szCs w:val="20"/>
              </w:rPr>
            </w:pPr>
            <w:r w:rsidRPr="00FD6A2B">
              <w:rPr>
                <w:b/>
                <w:bCs/>
                <w:color w:val="000000" w:themeColor="text1"/>
                <w:sz w:val="20"/>
                <w:szCs w:val="20"/>
              </w:rPr>
              <w:t>Marian-Cătălin PREDOIU</w:t>
            </w:r>
          </w:p>
        </w:tc>
      </w:tr>
    </w:tbl>
    <w:p w14:paraId="4A24322D" w14:textId="69A5C7BB" w:rsidR="00DC7D32" w:rsidRPr="00FD6A2B" w:rsidRDefault="00DC7D32">
      <w:pPr>
        <w:rPr>
          <w:color w:val="000000" w:themeColor="text1"/>
          <w:sz w:val="20"/>
          <w:szCs w:val="20"/>
        </w:rPr>
      </w:pPr>
    </w:p>
    <w:p w14:paraId="17EC338B" w14:textId="5B821078" w:rsidR="00DC7D32" w:rsidRPr="00FD6A2B" w:rsidRDefault="00DC7D32">
      <w:pPr>
        <w:rPr>
          <w:color w:val="000000" w:themeColor="text1"/>
          <w:sz w:val="20"/>
          <w:szCs w:val="20"/>
        </w:rPr>
      </w:pPr>
    </w:p>
    <w:p w14:paraId="27BEB58B" w14:textId="5A476931" w:rsidR="00DC7D32" w:rsidRPr="00FD6A2B" w:rsidRDefault="00DC7D32">
      <w:pPr>
        <w:rPr>
          <w:color w:val="000000" w:themeColor="text1"/>
          <w:sz w:val="20"/>
          <w:szCs w:val="20"/>
        </w:rPr>
      </w:pPr>
    </w:p>
    <w:p w14:paraId="001A750B" w14:textId="77777777" w:rsidR="00165FA7" w:rsidRPr="00FD6A2B" w:rsidRDefault="00165FA7" w:rsidP="0082711F">
      <w:pPr>
        <w:jc w:val="both"/>
        <w:rPr>
          <w:b/>
          <w:i/>
          <w:color w:val="000000" w:themeColor="text1"/>
          <w:sz w:val="20"/>
          <w:szCs w:val="20"/>
          <w:lang w:eastAsia="ro-RO"/>
        </w:rPr>
      </w:pPr>
    </w:p>
    <w:sectPr w:rsidR="00165FA7" w:rsidRPr="00FD6A2B" w:rsidSect="008E1534">
      <w:pgSz w:w="12240" w:h="15840"/>
      <w:pgMar w:top="737" w:right="851" w:bottom="36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DE4F2" w14:textId="77777777" w:rsidR="006A7FEA" w:rsidRDefault="006A7FEA">
      <w:r>
        <w:separator/>
      </w:r>
    </w:p>
  </w:endnote>
  <w:endnote w:type="continuationSeparator" w:id="0">
    <w:p w14:paraId="3728D6BE" w14:textId="77777777" w:rsidR="006A7FEA" w:rsidRDefault="006A7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3"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8418" w14:textId="0718435E" w:rsidR="00DA67C1" w:rsidRDefault="00DA67C1" w:rsidP="00D8142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70733C72" w14:textId="77777777" w:rsidR="00DA67C1" w:rsidRDefault="00DA67C1" w:rsidP="00D814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6650288"/>
      <w:docPartObj>
        <w:docPartGallery w:val="Page Numbers (Bottom of Page)"/>
        <w:docPartUnique/>
      </w:docPartObj>
    </w:sdtPr>
    <w:sdtEndPr>
      <w:rPr>
        <w:noProof/>
      </w:rPr>
    </w:sdtEndPr>
    <w:sdtContent>
      <w:p w14:paraId="55B1AF0C" w14:textId="59706404" w:rsidR="00DA67C1" w:rsidRDefault="00000000">
        <w:pPr>
          <w:pStyle w:val="Footer"/>
          <w:jc w:val="right"/>
        </w:pPr>
      </w:p>
    </w:sdtContent>
  </w:sdt>
  <w:p w14:paraId="0C442F9A" w14:textId="77777777" w:rsidR="00DA67C1" w:rsidRDefault="00DA67C1" w:rsidP="00D814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64030" w14:textId="77777777" w:rsidR="006A7FEA" w:rsidRDefault="006A7FEA">
      <w:r>
        <w:separator/>
      </w:r>
    </w:p>
  </w:footnote>
  <w:footnote w:type="continuationSeparator" w:id="0">
    <w:p w14:paraId="7B8C85AE" w14:textId="77777777" w:rsidR="006A7FEA" w:rsidRDefault="006A7F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E0E07"/>
    <w:multiLevelType w:val="multilevel"/>
    <w:tmpl w:val="B97E9BD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9D61DE"/>
    <w:multiLevelType w:val="hybridMultilevel"/>
    <w:tmpl w:val="86DAFC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A345EF"/>
    <w:multiLevelType w:val="hybridMultilevel"/>
    <w:tmpl w:val="B9EC4A38"/>
    <w:lvl w:ilvl="0" w:tplc="4014B5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AD530F"/>
    <w:multiLevelType w:val="multilevel"/>
    <w:tmpl w:val="475E5EC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BF004D"/>
    <w:multiLevelType w:val="hybridMultilevel"/>
    <w:tmpl w:val="3BF474A6"/>
    <w:lvl w:ilvl="0" w:tplc="8B98CE8A">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C620D1"/>
    <w:multiLevelType w:val="hybridMultilevel"/>
    <w:tmpl w:val="13DE68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D12361"/>
    <w:multiLevelType w:val="hybridMultilevel"/>
    <w:tmpl w:val="F70AE0E0"/>
    <w:lvl w:ilvl="0" w:tplc="04180001">
      <w:start w:val="1"/>
      <w:numFmt w:val="bullet"/>
      <w:lvlText w:val=""/>
      <w:lvlJc w:val="left"/>
      <w:pPr>
        <w:ind w:left="502" w:hanging="360"/>
      </w:pPr>
      <w:rPr>
        <w:rFonts w:ascii="Symbol" w:hAnsi="Symbol"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9" w15:restartNumberingAfterBreak="0">
    <w:nsid w:val="1EC52885"/>
    <w:multiLevelType w:val="hybridMultilevel"/>
    <w:tmpl w:val="228A6CCC"/>
    <w:lvl w:ilvl="0" w:tplc="788AA9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67F6"/>
    <w:multiLevelType w:val="hybridMultilevel"/>
    <w:tmpl w:val="CB981CB6"/>
    <w:lvl w:ilvl="0" w:tplc="D2D27128">
      <w:start w:val="1"/>
      <w:numFmt w:val="lowerLetter"/>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A3487A"/>
    <w:multiLevelType w:val="hybridMultilevel"/>
    <w:tmpl w:val="76A40B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D1365F"/>
    <w:multiLevelType w:val="hybridMultilevel"/>
    <w:tmpl w:val="576421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74C24B2"/>
    <w:multiLevelType w:val="hybridMultilevel"/>
    <w:tmpl w:val="DDB4C23E"/>
    <w:lvl w:ilvl="0" w:tplc="04180001">
      <w:start w:val="1"/>
      <w:numFmt w:val="bullet"/>
      <w:lvlText w:val=""/>
      <w:lvlJc w:val="left"/>
      <w:pPr>
        <w:ind w:left="502" w:hanging="360"/>
      </w:pPr>
      <w:rPr>
        <w:rFonts w:ascii="Symbol" w:hAnsi="Symbol"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16" w15:restartNumberingAfterBreak="0">
    <w:nsid w:val="40A52D84"/>
    <w:multiLevelType w:val="hybridMultilevel"/>
    <w:tmpl w:val="C62AC9F6"/>
    <w:lvl w:ilvl="0" w:tplc="7662092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D214D2"/>
    <w:multiLevelType w:val="hybridMultilevel"/>
    <w:tmpl w:val="D59EC4B6"/>
    <w:lvl w:ilvl="0" w:tplc="D480F1DE">
      <w:start w:val="1"/>
      <w:numFmt w:val="lowerRoman"/>
      <w:lvlText w:val="%1)"/>
      <w:lvlJc w:val="left"/>
      <w:pPr>
        <w:ind w:left="720" w:hanging="360"/>
      </w:pPr>
      <w:rPr>
        <w:rFonts w:hint="default"/>
      </w:rPr>
    </w:lvl>
    <w:lvl w:ilvl="1" w:tplc="5AAA9C1A">
      <w:start w:val="1"/>
      <w:numFmt w:val="lowerRoman"/>
      <w:lvlText w:val="(%2)"/>
      <w:lvlJc w:val="left"/>
      <w:pPr>
        <w:ind w:left="1800" w:hanging="720"/>
      </w:pPr>
      <w:rPr>
        <w:rFonts w:hint="default"/>
      </w:rPr>
    </w:lvl>
    <w:lvl w:ilvl="2" w:tplc="2C52A330">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AFA17FB"/>
    <w:multiLevelType w:val="multilevel"/>
    <w:tmpl w:val="5C64F5D4"/>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00C1719"/>
    <w:multiLevelType w:val="multilevel"/>
    <w:tmpl w:val="1E88CEC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E1D40AD"/>
    <w:multiLevelType w:val="hybridMultilevel"/>
    <w:tmpl w:val="EFF2C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797AD9"/>
    <w:multiLevelType w:val="hybridMultilevel"/>
    <w:tmpl w:val="768E8372"/>
    <w:lvl w:ilvl="0" w:tplc="EE5621E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302962"/>
    <w:multiLevelType w:val="hybridMultilevel"/>
    <w:tmpl w:val="1A4E6B4C"/>
    <w:lvl w:ilvl="0" w:tplc="BF3A9F9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C4262B"/>
    <w:multiLevelType w:val="hybridMultilevel"/>
    <w:tmpl w:val="F7529E5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4FD0477"/>
    <w:multiLevelType w:val="hybridMultilevel"/>
    <w:tmpl w:val="7F1A65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035E31"/>
    <w:multiLevelType w:val="hybridMultilevel"/>
    <w:tmpl w:val="D0A6F3AA"/>
    <w:lvl w:ilvl="0" w:tplc="00D07180">
      <w:start w:val="1"/>
      <w:numFmt w:val="bullet"/>
      <w:lvlText w:val="-"/>
      <w:lvlJc w:val="left"/>
      <w:pPr>
        <w:ind w:left="346" w:hanging="360"/>
      </w:pPr>
      <w:rPr>
        <w:rFonts w:ascii="Times New Roman" w:eastAsia="Times New Roman" w:hAnsi="Times New Roman" w:cs="Times New Roman" w:hint="default"/>
      </w:rPr>
    </w:lvl>
    <w:lvl w:ilvl="1" w:tplc="04090003" w:tentative="1">
      <w:start w:val="1"/>
      <w:numFmt w:val="bullet"/>
      <w:lvlText w:val="o"/>
      <w:lvlJc w:val="left"/>
      <w:pPr>
        <w:ind w:left="1066" w:hanging="360"/>
      </w:pPr>
      <w:rPr>
        <w:rFonts w:ascii="Courier New" w:hAnsi="Courier New" w:cs="Courier New" w:hint="default"/>
      </w:rPr>
    </w:lvl>
    <w:lvl w:ilvl="2" w:tplc="04090005" w:tentative="1">
      <w:start w:val="1"/>
      <w:numFmt w:val="bullet"/>
      <w:lvlText w:val=""/>
      <w:lvlJc w:val="left"/>
      <w:pPr>
        <w:ind w:left="1786" w:hanging="360"/>
      </w:pPr>
      <w:rPr>
        <w:rFonts w:ascii="Wingdings" w:hAnsi="Wingdings" w:hint="default"/>
      </w:rPr>
    </w:lvl>
    <w:lvl w:ilvl="3" w:tplc="04090001" w:tentative="1">
      <w:start w:val="1"/>
      <w:numFmt w:val="bullet"/>
      <w:lvlText w:val=""/>
      <w:lvlJc w:val="left"/>
      <w:pPr>
        <w:ind w:left="2506" w:hanging="360"/>
      </w:pPr>
      <w:rPr>
        <w:rFonts w:ascii="Symbol" w:hAnsi="Symbol" w:hint="default"/>
      </w:rPr>
    </w:lvl>
    <w:lvl w:ilvl="4" w:tplc="04090003" w:tentative="1">
      <w:start w:val="1"/>
      <w:numFmt w:val="bullet"/>
      <w:lvlText w:val="o"/>
      <w:lvlJc w:val="left"/>
      <w:pPr>
        <w:ind w:left="3226" w:hanging="360"/>
      </w:pPr>
      <w:rPr>
        <w:rFonts w:ascii="Courier New" w:hAnsi="Courier New" w:cs="Courier New" w:hint="default"/>
      </w:rPr>
    </w:lvl>
    <w:lvl w:ilvl="5" w:tplc="04090005" w:tentative="1">
      <w:start w:val="1"/>
      <w:numFmt w:val="bullet"/>
      <w:lvlText w:val=""/>
      <w:lvlJc w:val="left"/>
      <w:pPr>
        <w:ind w:left="3946" w:hanging="360"/>
      </w:pPr>
      <w:rPr>
        <w:rFonts w:ascii="Wingdings" w:hAnsi="Wingdings" w:hint="default"/>
      </w:rPr>
    </w:lvl>
    <w:lvl w:ilvl="6" w:tplc="04090001" w:tentative="1">
      <w:start w:val="1"/>
      <w:numFmt w:val="bullet"/>
      <w:lvlText w:val=""/>
      <w:lvlJc w:val="left"/>
      <w:pPr>
        <w:ind w:left="4666" w:hanging="360"/>
      </w:pPr>
      <w:rPr>
        <w:rFonts w:ascii="Symbol" w:hAnsi="Symbol" w:hint="default"/>
      </w:rPr>
    </w:lvl>
    <w:lvl w:ilvl="7" w:tplc="04090003" w:tentative="1">
      <w:start w:val="1"/>
      <w:numFmt w:val="bullet"/>
      <w:lvlText w:val="o"/>
      <w:lvlJc w:val="left"/>
      <w:pPr>
        <w:ind w:left="5386" w:hanging="360"/>
      </w:pPr>
      <w:rPr>
        <w:rFonts w:ascii="Courier New" w:hAnsi="Courier New" w:cs="Courier New" w:hint="default"/>
      </w:rPr>
    </w:lvl>
    <w:lvl w:ilvl="8" w:tplc="04090005" w:tentative="1">
      <w:start w:val="1"/>
      <w:numFmt w:val="bullet"/>
      <w:lvlText w:val=""/>
      <w:lvlJc w:val="left"/>
      <w:pPr>
        <w:ind w:left="6106" w:hanging="360"/>
      </w:pPr>
      <w:rPr>
        <w:rFonts w:ascii="Wingdings" w:hAnsi="Wingdings" w:hint="default"/>
      </w:rPr>
    </w:lvl>
  </w:abstractNum>
  <w:abstractNum w:abstractNumId="26" w15:restartNumberingAfterBreak="0">
    <w:nsid w:val="6C40A835"/>
    <w:multiLevelType w:val="multilevel"/>
    <w:tmpl w:val="602C4ED6"/>
    <w:lvl w:ilvl="0">
      <w:start w:val="1"/>
      <w:numFmt w:val="decimal"/>
      <w:lvlText w:val=""/>
      <w:lvlJc w:val="left"/>
      <w:pPr>
        <w:tabs>
          <w:tab w:val="num" w:pos="0"/>
        </w:tabs>
      </w:pPr>
      <w:rPr>
        <w:rFonts w:ascii="Symbol" w:hAnsi="Symbol" w:cs="Symbol"/>
        <w:sz w:val="28"/>
        <w:szCs w:val="28"/>
      </w:rPr>
    </w:lvl>
    <w:lvl w:ilvl="1">
      <w:start w:val="1"/>
      <w:numFmt w:val="decimal"/>
      <w:lvlText w:val=""/>
      <w:lvlJc w:val="left"/>
      <w:pPr>
        <w:tabs>
          <w:tab w:val="num" w:pos="0"/>
        </w:tabs>
        <w:ind w:left="570" w:hanging="570"/>
      </w:pPr>
      <w:rPr>
        <w:rFonts w:ascii="Courier New" w:hAnsi="Courier New" w:cs="Courier New"/>
        <w:sz w:val="24"/>
        <w:szCs w:val="24"/>
      </w:rPr>
    </w:lvl>
    <w:lvl w:ilvl="2">
      <w:start w:val="1"/>
      <w:numFmt w:val="decimal"/>
      <w:lvlText w:val=""/>
      <w:lvlJc w:val="left"/>
      <w:pPr>
        <w:tabs>
          <w:tab w:val="num" w:pos="0"/>
        </w:tabs>
        <w:ind w:left="720" w:hanging="720"/>
      </w:pPr>
      <w:rPr>
        <w:rFonts w:ascii="Wingdings" w:hAnsi="Wingdings" w:cs="Wingdings"/>
        <w:sz w:val="24"/>
        <w:szCs w:val="24"/>
      </w:rPr>
    </w:lvl>
    <w:lvl w:ilvl="3">
      <w:start w:val="1"/>
      <w:numFmt w:val="decimal"/>
      <w:lvlText w:val=""/>
      <w:lvlJc w:val="left"/>
      <w:pPr>
        <w:tabs>
          <w:tab w:val="num" w:pos="0"/>
        </w:tabs>
        <w:ind w:left="870" w:hanging="870"/>
      </w:pPr>
      <w:rPr>
        <w:rFonts w:ascii="Times New Roman" w:hAnsi="Times New Roman" w:cs="Times New Roman"/>
        <w:sz w:val="24"/>
        <w:szCs w:val="24"/>
      </w:rPr>
    </w:lvl>
    <w:lvl w:ilvl="4">
      <w:start w:val="1"/>
      <w:numFmt w:val="decimal"/>
      <w:lvlText w:val=""/>
      <w:lvlJc w:val="left"/>
      <w:pPr>
        <w:tabs>
          <w:tab w:val="num" w:pos="0"/>
        </w:tabs>
        <w:ind w:left="1005" w:hanging="1005"/>
      </w:pPr>
      <w:rPr>
        <w:rFonts w:ascii="Times New Roman" w:hAnsi="Times New Roman" w:cs="Times New Roman"/>
        <w:sz w:val="24"/>
        <w:szCs w:val="24"/>
      </w:rPr>
    </w:lvl>
    <w:lvl w:ilvl="5">
      <w:start w:val="1"/>
      <w:numFmt w:val="decimal"/>
      <w:lvlText w:val=""/>
      <w:lvlJc w:val="left"/>
      <w:pPr>
        <w:tabs>
          <w:tab w:val="num" w:pos="0"/>
        </w:tabs>
      </w:pPr>
      <w:rPr>
        <w:rFonts w:ascii="Times New Roman" w:hAnsi="Times New Roman" w:cs="Times New Roman"/>
        <w:b/>
        <w:bCs/>
        <w:sz w:val="28"/>
        <w:szCs w:val="28"/>
      </w:rPr>
    </w:lvl>
    <w:lvl w:ilvl="6">
      <w:start w:val="1"/>
      <w:numFmt w:val="decimal"/>
      <w:lvlText w:val=""/>
      <w:lvlJc w:val="left"/>
      <w:pPr>
        <w:tabs>
          <w:tab w:val="num" w:pos="0"/>
        </w:tabs>
        <w:ind w:left="1290" w:hanging="1290"/>
      </w:pPr>
      <w:rPr>
        <w:rFonts w:ascii="Times New Roman" w:hAnsi="Times New Roman" w:cs="Times New Roman"/>
        <w:sz w:val="24"/>
        <w:szCs w:val="24"/>
      </w:rPr>
    </w:lvl>
    <w:lvl w:ilvl="7">
      <w:start w:val="1"/>
      <w:numFmt w:val="decimal"/>
      <w:lvlText w:val=""/>
      <w:lvlJc w:val="left"/>
      <w:pPr>
        <w:tabs>
          <w:tab w:val="num" w:pos="0"/>
        </w:tabs>
        <w:ind w:left="1440" w:hanging="1440"/>
      </w:pPr>
      <w:rPr>
        <w:rFonts w:ascii="Times New Roman" w:hAnsi="Times New Roman" w:cs="Times New Roman"/>
        <w:sz w:val="24"/>
        <w:szCs w:val="24"/>
      </w:rPr>
    </w:lvl>
    <w:lvl w:ilvl="8">
      <w:start w:val="1"/>
      <w:numFmt w:val="decimal"/>
      <w:lvlText w:val=""/>
      <w:lvlJc w:val="left"/>
      <w:pPr>
        <w:tabs>
          <w:tab w:val="num" w:pos="0"/>
        </w:tabs>
      </w:pPr>
      <w:rPr>
        <w:rFonts w:ascii="Times New Roman" w:hAnsi="Times New Roman" w:cs="Times New Roman"/>
        <w:b/>
        <w:bCs/>
        <w:sz w:val="28"/>
        <w:szCs w:val="28"/>
      </w:rPr>
    </w:lvl>
  </w:abstractNum>
  <w:abstractNum w:abstractNumId="27"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8761A82"/>
    <w:multiLevelType w:val="hybridMultilevel"/>
    <w:tmpl w:val="F5B0FE80"/>
    <w:lvl w:ilvl="0" w:tplc="7662092A">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8AF1295"/>
    <w:multiLevelType w:val="hybridMultilevel"/>
    <w:tmpl w:val="0CF8FBF8"/>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0"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CBC03C2"/>
    <w:multiLevelType w:val="hybridMultilevel"/>
    <w:tmpl w:val="CA3AB3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33" w15:restartNumberingAfterBreak="0">
    <w:nsid w:val="7EB0002B"/>
    <w:multiLevelType w:val="multilevel"/>
    <w:tmpl w:val="7F56764E"/>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24426214">
    <w:abstractNumId w:val="1"/>
  </w:num>
  <w:num w:numId="2" w16cid:durableId="2121096835">
    <w:abstractNumId w:val="32"/>
  </w:num>
  <w:num w:numId="3" w16cid:durableId="1272783279">
    <w:abstractNumId w:val="27"/>
  </w:num>
  <w:num w:numId="4" w16cid:durableId="591279308">
    <w:abstractNumId w:val="7"/>
  </w:num>
  <w:num w:numId="5" w16cid:durableId="1463040643">
    <w:abstractNumId w:val="13"/>
  </w:num>
  <w:num w:numId="6" w16cid:durableId="553395648">
    <w:abstractNumId w:val="30"/>
  </w:num>
  <w:num w:numId="7" w16cid:durableId="357970937">
    <w:abstractNumId w:val="12"/>
  </w:num>
  <w:num w:numId="8" w16cid:durableId="12046550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71031325">
    <w:abstractNumId w:val="29"/>
  </w:num>
  <w:num w:numId="10" w16cid:durableId="1483351913">
    <w:abstractNumId w:val="20"/>
  </w:num>
  <w:num w:numId="11" w16cid:durableId="1752040380">
    <w:abstractNumId w:val="14"/>
  </w:num>
  <w:num w:numId="12" w16cid:durableId="443695819">
    <w:abstractNumId w:val="11"/>
  </w:num>
  <w:num w:numId="13" w16cid:durableId="884296198">
    <w:abstractNumId w:val="9"/>
  </w:num>
  <w:num w:numId="14" w16cid:durableId="1991933830">
    <w:abstractNumId w:val="23"/>
  </w:num>
  <w:num w:numId="15" w16cid:durableId="2055615335">
    <w:abstractNumId w:val="33"/>
  </w:num>
  <w:num w:numId="16" w16cid:durableId="5486097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23230422">
    <w:abstractNumId w:val="18"/>
  </w:num>
  <w:num w:numId="18" w16cid:durableId="2121027681">
    <w:abstractNumId w:val="3"/>
  </w:num>
  <w:num w:numId="19" w16cid:durableId="187763299">
    <w:abstractNumId w:val="31"/>
  </w:num>
  <w:num w:numId="20" w16cid:durableId="518741306">
    <w:abstractNumId w:val="2"/>
  </w:num>
  <w:num w:numId="21" w16cid:durableId="478159838">
    <w:abstractNumId w:val="15"/>
  </w:num>
  <w:num w:numId="22" w16cid:durableId="2139713909">
    <w:abstractNumId w:val="8"/>
  </w:num>
  <w:num w:numId="23" w16cid:durableId="1737051100">
    <w:abstractNumId w:val="10"/>
  </w:num>
  <w:num w:numId="24" w16cid:durableId="466171535">
    <w:abstractNumId w:val="19"/>
  </w:num>
  <w:num w:numId="25" w16cid:durableId="1790199197">
    <w:abstractNumId w:val="0"/>
  </w:num>
  <w:num w:numId="26" w16cid:durableId="2102407258">
    <w:abstractNumId w:val="17"/>
  </w:num>
  <w:num w:numId="27" w16cid:durableId="1533768380">
    <w:abstractNumId w:val="24"/>
  </w:num>
  <w:num w:numId="28" w16cid:durableId="1887064932">
    <w:abstractNumId w:val="22"/>
  </w:num>
  <w:num w:numId="29" w16cid:durableId="672803298">
    <w:abstractNumId w:val="28"/>
  </w:num>
  <w:num w:numId="30" w16cid:durableId="242573753">
    <w:abstractNumId w:val="16"/>
  </w:num>
  <w:num w:numId="31" w16cid:durableId="909998741">
    <w:abstractNumId w:val="6"/>
  </w:num>
  <w:num w:numId="32" w16cid:durableId="1460104097">
    <w:abstractNumId w:val="25"/>
  </w:num>
  <w:num w:numId="33" w16cid:durableId="1290744596">
    <w:abstractNumId w:val="4"/>
  </w:num>
  <w:num w:numId="34" w16cid:durableId="1714960104">
    <w:abstractNumId w:val="5"/>
  </w:num>
  <w:num w:numId="35" w16cid:durableId="153153118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EA6"/>
    <w:rsid w:val="000019B6"/>
    <w:rsid w:val="00002A2E"/>
    <w:rsid w:val="00002E4A"/>
    <w:rsid w:val="000040A1"/>
    <w:rsid w:val="000042B4"/>
    <w:rsid w:val="00004536"/>
    <w:rsid w:val="00006F20"/>
    <w:rsid w:val="0000707B"/>
    <w:rsid w:val="000125A7"/>
    <w:rsid w:val="0001318A"/>
    <w:rsid w:val="00013621"/>
    <w:rsid w:val="0001442E"/>
    <w:rsid w:val="000155D5"/>
    <w:rsid w:val="000156CE"/>
    <w:rsid w:val="000160F3"/>
    <w:rsid w:val="00017D04"/>
    <w:rsid w:val="0002070B"/>
    <w:rsid w:val="000208CC"/>
    <w:rsid w:val="00020B3F"/>
    <w:rsid w:val="000212C3"/>
    <w:rsid w:val="0002299E"/>
    <w:rsid w:val="00022F5E"/>
    <w:rsid w:val="00024F37"/>
    <w:rsid w:val="00025015"/>
    <w:rsid w:val="000260DD"/>
    <w:rsid w:val="000265F7"/>
    <w:rsid w:val="00026B13"/>
    <w:rsid w:val="00026DC5"/>
    <w:rsid w:val="00027469"/>
    <w:rsid w:val="00030480"/>
    <w:rsid w:val="0003051E"/>
    <w:rsid w:val="00031D8D"/>
    <w:rsid w:val="0003205B"/>
    <w:rsid w:val="00033595"/>
    <w:rsid w:val="000352BD"/>
    <w:rsid w:val="00035D17"/>
    <w:rsid w:val="000369EF"/>
    <w:rsid w:val="00040B7B"/>
    <w:rsid w:val="00043471"/>
    <w:rsid w:val="00043911"/>
    <w:rsid w:val="00044209"/>
    <w:rsid w:val="0004425D"/>
    <w:rsid w:val="0004452D"/>
    <w:rsid w:val="00046B44"/>
    <w:rsid w:val="000503A8"/>
    <w:rsid w:val="00054869"/>
    <w:rsid w:val="00054DF8"/>
    <w:rsid w:val="00055758"/>
    <w:rsid w:val="000563C0"/>
    <w:rsid w:val="00056446"/>
    <w:rsid w:val="00057110"/>
    <w:rsid w:val="00057629"/>
    <w:rsid w:val="00057EC8"/>
    <w:rsid w:val="00060147"/>
    <w:rsid w:val="0006014B"/>
    <w:rsid w:val="00060E2F"/>
    <w:rsid w:val="0006193A"/>
    <w:rsid w:val="00061E6F"/>
    <w:rsid w:val="0006216F"/>
    <w:rsid w:val="00062BA0"/>
    <w:rsid w:val="00063769"/>
    <w:rsid w:val="0006409E"/>
    <w:rsid w:val="00064A6B"/>
    <w:rsid w:val="00064E28"/>
    <w:rsid w:val="00066114"/>
    <w:rsid w:val="00066721"/>
    <w:rsid w:val="000671DB"/>
    <w:rsid w:val="000676D6"/>
    <w:rsid w:val="00070830"/>
    <w:rsid w:val="00070999"/>
    <w:rsid w:val="00071642"/>
    <w:rsid w:val="00072342"/>
    <w:rsid w:val="00073195"/>
    <w:rsid w:val="000733D3"/>
    <w:rsid w:val="0007609F"/>
    <w:rsid w:val="00076C55"/>
    <w:rsid w:val="00080596"/>
    <w:rsid w:val="000808EE"/>
    <w:rsid w:val="00080916"/>
    <w:rsid w:val="00081475"/>
    <w:rsid w:val="00083DB6"/>
    <w:rsid w:val="00083EAF"/>
    <w:rsid w:val="00084EE5"/>
    <w:rsid w:val="00084F56"/>
    <w:rsid w:val="000854EC"/>
    <w:rsid w:val="00085904"/>
    <w:rsid w:val="00086114"/>
    <w:rsid w:val="00087383"/>
    <w:rsid w:val="00087C3B"/>
    <w:rsid w:val="00087C48"/>
    <w:rsid w:val="00090676"/>
    <w:rsid w:val="0009222E"/>
    <w:rsid w:val="00092376"/>
    <w:rsid w:val="000931C3"/>
    <w:rsid w:val="0009320D"/>
    <w:rsid w:val="00093445"/>
    <w:rsid w:val="000936A7"/>
    <w:rsid w:val="00094481"/>
    <w:rsid w:val="000949D2"/>
    <w:rsid w:val="00094A5B"/>
    <w:rsid w:val="00094AE3"/>
    <w:rsid w:val="00095300"/>
    <w:rsid w:val="00095A6A"/>
    <w:rsid w:val="0009621B"/>
    <w:rsid w:val="000967AB"/>
    <w:rsid w:val="000A06E8"/>
    <w:rsid w:val="000A3A24"/>
    <w:rsid w:val="000A437E"/>
    <w:rsid w:val="000A6298"/>
    <w:rsid w:val="000A71F1"/>
    <w:rsid w:val="000B036B"/>
    <w:rsid w:val="000B1818"/>
    <w:rsid w:val="000B391A"/>
    <w:rsid w:val="000B3D76"/>
    <w:rsid w:val="000B4945"/>
    <w:rsid w:val="000B55D8"/>
    <w:rsid w:val="000B650E"/>
    <w:rsid w:val="000B665D"/>
    <w:rsid w:val="000B6F4E"/>
    <w:rsid w:val="000B7506"/>
    <w:rsid w:val="000B753E"/>
    <w:rsid w:val="000C0534"/>
    <w:rsid w:val="000C05F3"/>
    <w:rsid w:val="000C3277"/>
    <w:rsid w:val="000C3586"/>
    <w:rsid w:val="000C3625"/>
    <w:rsid w:val="000C4A4F"/>
    <w:rsid w:val="000C54A4"/>
    <w:rsid w:val="000C614B"/>
    <w:rsid w:val="000C7A5C"/>
    <w:rsid w:val="000C7D63"/>
    <w:rsid w:val="000C7EAF"/>
    <w:rsid w:val="000C7EEC"/>
    <w:rsid w:val="000D0889"/>
    <w:rsid w:val="000D23B9"/>
    <w:rsid w:val="000D2453"/>
    <w:rsid w:val="000D2B20"/>
    <w:rsid w:val="000D315E"/>
    <w:rsid w:val="000D403B"/>
    <w:rsid w:val="000D4132"/>
    <w:rsid w:val="000D4C09"/>
    <w:rsid w:val="000D6861"/>
    <w:rsid w:val="000D78B4"/>
    <w:rsid w:val="000E0EA4"/>
    <w:rsid w:val="000E2C2D"/>
    <w:rsid w:val="000E3A58"/>
    <w:rsid w:val="000E6FCF"/>
    <w:rsid w:val="000E74F5"/>
    <w:rsid w:val="000E7C12"/>
    <w:rsid w:val="000F26C2"/>
    <w:rsid w:val="000F40EF"/>
    <w:rsid w:val="000F4F9F"/>
    <w:rsid w:val="000F6105"/>
    <w:rsid w:val="000F7896"/>
    <w:rsid w:val="00100251"/>
    <w:rsid w:val="00101A9B"/>
    <w:rsid w:val="001023B0"/>
    <w:rsid w:val="0010482B"/>
    <w:rsid w:val="00105808"/>
    <w:rsid w:val="00106020"/>
    <w:rsid w:val="001067AA"/>
    <w:rsid w:val="00106FB3"/>
    <w:rsid w:val="00106FE8"/>
    <w:rsid w:val="00107736"/>
    <w:rsid w:val="00107740"/>
    <w:rsid w:val="001077E3"/>
    <w:rsid w:val="00107E28"/>
    <w:rsid w:val="00110D53"/>
    <w:rsid w:val="001110C2"/>
    <w:rsid w:val="00112E9E"/>
    <w:rsid w:val="001147BA"/>
    <w:rsid w:val="0011501B"/>
    <w:rsid w:val="00115083"/>
    <w:rsid w:val="00115131"/>
    <w:rsid w:val="001171D7"/>
    <w:rsid w:val="00121CCC"/>
    <w:rsid w:val="001250F7"/>
    <w:rsid w:val="00125245"/>
    <w:rsid w:val="00126BBF"/>
    <w:rsid w:val="0013060B"/>
    <w:rsid w:val="00130ADF"/>
    <w:rsid w:val="00131281"/>
    <w:rsid w:val="001313D8"/>
    <w:rsid w:val="0013230E"/>
    <w:rsid w:val="00133A3B"/>
    <w:rsid w:val="00135D56"/>
    <w:rsid w:val="0013619D"/>
    <w:rsid w:val="0013635D"/>
    <w:rsid w:val="0013676D"/>
    <w:rsid w:val="00137A13"/>
    <w:rsid w:val="00142281"/>
    <w:rsid w:val="00144293"/>
    <w:rsid w:val="00145551"/>
    <w:rsid w:val="001459BC"/>
    <w:rsid w:val="00145BD2"/>
    <w:rsid w:val="0014608E"/>
    <w:rsid w:val="00146BB2"/>
    <w:rsid w:val="0014728C"/>
    <w:rsid w:val="001500EA"/>
    <w:rsid w:val="00152085"/>
    <w:rsid w:val="001528E8"/>
    <w:rsid w:val="00153B2A"/>
    <w:rsid w:val="0015446A"/>
    <w:rsid w:val="001544DC"/>
    <w:rsid w:val="0015762E"/>
    <w:rsid w:val="00157B5B"/>
    <w:rsid w:val="00160148"/>
    <w:rsid w:val="00161A61"/>
    <w:rsid w:val="00162A6B"/>
    <w:rsid w:val="001630BF"/>
    <w:rsid w:val="0016487D"/>
    <w:rsid w:val="00164F79"/>
    <w:rsid w:val="00164FF3"/>
    <w:rsid w:val="00165136"/>
    <w:rsid w:val="00165628"/>
    <w:rsid w:val="00165A07"/>
    <w:rsid w:val="00165C92"/>
    <w:rsid w:val="00165D35"/>
    <w:rsid w:val="00165FA7"/>
    <w:rsid w:val="0016681D"/>
    <w:rsid w:val="00166A10"/>
    <w:rsid w:val="00166C36"/>
    <w:rsid w:val="0016702F"/>
    <w:rsid w:val="0016785A"/>
    <w:rsid w:val="00167EF9"/>
    <w:rsid w:val="0017030A"/>
    <w:rsid w:val="00170BBD"/>
    <w:rsid w:val="00170CBA"/>
    <w:rsid w:val="00170D4E"/>
    <w:rsid w:val="00172493"/>
    <w:rsid w:val="00172C75"/>
    <w:rsid w:val="00173986"/>
    <w:rsid w:val="0017630C"/>
    <w:rsid w:val="001776C1"/>
    <w:rsid w:val="00177CD3"/>
    <w:rsid w:val="00177EC3"/>
    <w:rsid w:val="00180B7B"/>
    <w:rsid w:val="00181323"/>
    <w:rsid w:val="0018173D"/>
    <w:rsid w:val="00181DB6"/>
    <w:rsid w:val="00184B82"/>
    <w:rsid w:val="0018647A"/>
    <w:rsid w:val="00187A9B"/>
    <w:rsid w:val="0019189C"/>
    <w:rsid w:val="001919CC"/>
    <w:rsid w:val="001932E3"/>
    <w:rsid w:val="0019387C"/>
    <w:rsid w:val="00194454"/>
    <w:rsid w:val="001945C9"/>
    <w:rsid w:val="001A0854"/>
    <w:rsid w:val="001A0AEA"/>
    <w:rsid w:val="001A1AA3"/>
    <w:rsid w:val="001A1AE5"/>
    <w:rsid w:val="001A1D31"/>
    <w:rsid w:val="001A2A6E"/>
    <w:rsid w:val="001A374F"/>
    <w:rsid w:val="001A4420"/>
    <w:rsid w:val="001A612C"/>
    <w:rsid w:val="001A78A0"/>
    <w:rsid w:val="001A7C31"/>
    <w:rsid w:val="001B1912"/>
    <w:rsid w:val="001B1AD6"/>
    <w:rsid w:val="001B22D1"/>
    <w:rsid w:val="001B23D0"/>
    <w:rsid w:val="001B2B36"/>
    <w:rsid w:val="001B3B27"/>
    <w:rsid w:val="001B4FE1"/>
    <w:rsid w:val="001B65E1"/>
    <w:rsid w:val="001B6DD8"/>
    <w:rsid w:val="001B7961"/>
    <w:rsid w:val="001C15E7"/>
    <w:rsid w:val="001C1FCF"/>
    <w:rsid w:val="001C2816"/>
    <w:rsid w:val="001C2EA5"/>
    <w:rsid w:val="001C2EC9"/>
    <w:rsid w:val="001C33B5"/>
    <w:rsid w:val="001C3770"/>
    <w:rsid w:val="001C3EF4"/>
    <w:rsid w:val="001C413B"/>
    <w:rsid w:val="001C4735"/>
    <w:rsid w:val="001C55B8"/>
    <w:rsid w:val="001C6BF4"/>
    <w:rsid w:val="001C737C"/>
    <w:rsid w:val="001C7510"/>
    <w:rsid w:val="001C7F48"/>
    <w:rsid w:val="001D0467"/>
    <w:rsid w:val="001D1036"/>
    <w:rsid w:val="001D68E9"/>
    <w:rsid w:val="001D7448"/>
    <w:rsid w:val="001E058E"/>
    <w:rsid w:val="001E0BD4"/>
    <w:rsid w:val="001E0D0D"/>
    <w:rsid w:val="001E10D6"/>
    <w:rsid w:val="001E11B1"/>
    <w:rsid w:val="001E2092"/>
    <w:rsid w:val="001E236E"/>
    <w:rsid w:val="001E5470"/>
    <w:rsid w:val="001E55B3"/>
    <w:rsid w:val="001E648D"/>
    <w:rsid w:val="001E69E4"/>
    <w:rsid w:val="001E6A4B"/>
    <w:rsid w:val="001E708B"/>
    <w:rsid w:val="001E7255"/>
    <w:rsid w:val="001F14A2"/>
    <w:rsid w:val="001F1E7E"/>
    <w:rsid w:val="001F24B9"/>
    <w:rsid w:val="001F37EE"/>
    <w:rsid w:val="001F37F9"/>
    <w:rsid w:val="001F418F"/>
    <w:rsid w:val="001F4CA8"/>
    <w:rsid w:val="001F634D"/>
    <w:rsid w:val="001F6D5C"/>
    <w:rsid w:val="001F700D"/>
    <w:rsid w:val="001F7034"/>
    <w:rsid w:val="001F733F"/>
    <w:rsid w:val="00200720"/>
    <w:rsid w:val="002007C3"/>
    <w:rsid w:val="002012CE"/>
    <w:rsid w:val="00205BC7"/>
    <w:rsid w:val="00210E9C"/>
    <w:rsid w:val="00211627"/>
    <w:rsid w:val="002116FE"/>
    <w:rsid w:val="00212524"/>
    <w:rsid w:val="00213877"/>
    <w:rsid w:val="00213BDB"/>
    <w:rsid w:val="00215128"/>
    <w:rsid w:val="002153E2"/>
    <w:rsid w:val="00217238"/>
    <w:rsid w:val="00217BF3"/>
    <w:rsid w:val="00220BDB"/>
    <w:rsid w:val="00221987"/>
    <w:rsid w:val="00221B2B"/>
    <w:rsid w:val="00223491"/>
    <w:rsid w:val="00223AFB"/>
    <w:rsid w:val="00225653"/>
    <w:rsid w:val="00227A62"/>
    <w:rsid w:val="0023012D"/>
    <w:rsid w:val="00230EAE"/>
    <w:rsid w:val="00231324"/>
    <w:rsid w:val="00231F26"/>
    <w:rsid w:val="00232ED4"/>
    <w:rsid w:val="0023360D"/>
    <w:rsid w:val="002337CA"/>
    <w:rsid w:val="00233A87"/>
    <w:rsid w:val="00233D49"/>
    <w:rsid w:val="0023404B"/>
    <w:rsid w:val="002348DD"/>
    <w:rsid w:val="00234AB0"/>
    <w:rsid w:val="00234B65"/>
    <w:rsid w:val="002354D3"/>
    <w:rsid w:val="00236429"/>
    <w:rsid w:val="002404DC"/>
    <w:rsid w:val="002404F7"/>
    <w:rsid w:val="00244CF8"/>
    <w:rsid w:val="00250C5C"/>
    <w:rsid w:val="00251605"/>
    <w:rsid w:val="00252CD9"/>
    <w:rsid w:val="002559C0"/>
    <w:rsid w:val="00256383"/>
    <w:rsid w:val="0025682E"/>
    <w:rsid w:val="00260E13"/>
    <w:rsid w:val="002623AD"/>
    <w:rsid w:val="00262462"/>
    <w:rsid w:val="0026264B"/>
    <w:rsid w:val="00262AAC"/>
    <w:rsid w:val="00262CFA"/>
    <w:rsid w:val="00267571"/>
    <w:rsid w:val="00270D12"/>
    <w:rsid w:val="00271D4C"/>
    <w:rsid w:val="00272891"/>
    <w:rsid w:val="00272950"/>
    <w:rsid w:val="00272D53"/>
    <w:rsid w:val="0027308F"/>
    <w:rsid w:val="002734AE"/>
    <w:rsid w:val="00275947"/>
    <w:rsid w:val="00275D3D"/>
    <w:rsid w:val="00276B03"/>
    <w:rsid w:val="00276B31"/>
    <w:rsid w:val="0027750A"/>
    <w:rsid w:val="00277AD2"/>
    <w:rsid w:val="00280BAF"/>
    <w:rsid w:val="00280F6C"/>
    <w:rsid w:val="00282E65"/>
    <w:rsid w:val="00283DDB"/>
    <w:rsid w:val="00286173"/>
    <w:rsid w:val="00286541"/>
    <w:rsid w:val="002869DC"/>
    <w:rsid w:val="00286DEC"/>
    <w:rsid w:val="00287EF2"/>
    <w:rsid w:val="002901A1"/>
    <w:rsid w:val="00290E6F"/>
    <w:rsid w:val="00290FC6"/>
    <w:rsid w:val="00294152"/>
    <w:rsid w:val="0029430E"/>
    <w:rsid w:val="00294D46"/>
    <w:rsid w:val="002967A2"/>
    <w:rsid w:val="002A0A69"/>
    <w:rsid w:val="002A0BDF"/>
    <w:rsid w:val="002A409A"/>
    <w:rsid w:val="002A41C3"/>
    <w:rsid w:val="002A4A4D"/>
    <w:rsid w:val="002A705A"/>
    <w:rsid w:val="002A70FC"/>
    <w:rsid w:val="002A7775"/>
    <w:rsid w:val="002A7B24"/>
    <w:rsid w:val="002B2155"/>
    <w:rsid w:val="002B28B0"/>
    <w:rsid w:val="002B4A54"/>
    <w:rsid w:val="002B583C"/>
    <w:rsid w:val="002B689E"/>
    <w:rsid w:val="002B7888"/>
    <w:rsid w:val="002C11E2"/>
    <w:rsid w:val="002C122C"/>
    <w:rsid w:val="002C129E"/>
    <w:rsid w:val="002C1C7F"/>
    <w:rsid w:val="002C3361"/>
    <w:rsid w:val="002C37C4"/>
    <w:rsid w:val="002C4475"/>
    <w:rsid w:val="002C4610"/>
    <w:rsid w:val="002C5396"/>
    <w:rsid w:val="002C68BC"/>
    <w:rsid w:val="002C6EEE"/>
    <w:rsid w:val="002D13C8"/>
    <w:rsid w:val="002D171F"/>
    <w:rsid w:val="002D1ABF"/>
    <w:rsid w:val="002D2048"/>
    <w:rsid w:val="002D214D"/>
    <w:rsid w:val="002D29B9"/>
    <w:rsid w:val="002D2B9D"/>
    <w:rsid w:val="002D3A08"/>
    <w:rsid w:val="002D3CFD"/>
    <w:rsid w:val="002D519D"/>
    <w:rsid w:val="002D63DE"/>
    <w:rsid w:val="002D6E81"/>
    <w:rsid w:val="002E20A6"/>
    <w:rsid w:val="002E22BC"/>
    <w:rsid w:val="002E3AFC"/>
    <w:rsid w:val="002E3BEE"/>
    <w:rsid w:val="002E5329"/>
    <w:rsid w:val="002E5723"/>
    <w:rsid w:val="002E5889"/>
    <w:rsid w:val="002E6018"/>
    <w:rsid w:val="002E6BA8"/>
    <w:rsid w:val="002E7997"/>
    <w:rsid w:val="002E7E37"/>
    <w:rsid w:val="002F01BF"/>
    <w:rsid w:val="002F0CE9"/>
    <w:rsid w:val="002F1A5E"/>
    <w:rsid w:val="002F2274"/>
    <w:rsid w:val="002F2645"/>
    <w:rsid w:val="002F36E2"/>
    <w:rsid w:val="002F3810"/>
    <w:rsid w:val="002F4425"/>
    <w:rsid w:val="002F563F"/>
    <w:rsid w:val="002F6277"/>
    <w:rsid w:val="002F7F98"/>
    <w:rsid w:val="00300E1C"/>
    <w:rsid w:val="00302ADB"/>
    <w:rsid w:val="00302D6F"/>
    <w:rsid w:val="00302EF5"/>
    <w:rsid w:val="003034B1"/>
    <w:rsid w:val="003041C2"/>
    <w:rsid w:val="00304361"/>
    <w:rsid w:val="00305061"/>
    <w:rsid w:val="0030581C"/>
    <w:rsid w:val="00305E5F"/>
    <w:rsid w:val="00305F76"/>
    <w:rsid w:val="00306119"/>
    <w:rsid w:val="0030697F"/>
    <w:rsid w:val="00310F95"/>
    <w:rsid w:val="00312439"/>
    <w:rsid w:val="003127E6"/>
    <w:rsid w:val="00312E6E"/>
    <w:rsid w:val="00312FF3"/>
    <w:rsid w:val="00313391"/>
    <w:rsid w:val="003138A1"/>
    <w:rsid w:val="00313BF1"/>
    <w:rsid w:val="00313CC6"/>
    <w:rsid w:val="00313DC1"/>
    <w:rsid w:val="00315CB8"/>
    <w:rsid w:val="003179ED"/>
    <w:rsid w:val="00317B9A"/>
    <w:rsid w:val="00320940"/>
    <w:rsid w:val="00321589"/>
    <w:rsid w:val="00322480"/>
    <w:rsid w:val="00324260"/>
    <w:rsid w:val="00324785"/>
    <w:rsid w:val="00324938"/>
    <w:rsid w:val="00325BC3"/>
    <w:rsid w:val="003278FD"/>
    <w:rsid w:val="00330048"/>
    <w:rsid w:val="00332715"/>
    <w:rsid w:val="00332FEB"/>
    <w:rsid w:val="00333928"/>
    <w:rsid w:val="00333AB9"/>
    <w:rsid w:val="00333EE8"/>
    <w:rsid w:val="003357CA"/>
    <w:rsid w:val="00335C69"/>
    <w:rsid w:val="003436D6"/>
    <w:rsid w:val="003456BD"/>
    <w:rsid w:val="00345C6D"/>
    <w:rsid w:val="0034765C"/>
    <w:rsid w:val="0035099F"/>
    <w:rsid w:val="003522EE"/>
    <w:rsid w:val="00353ABC"/>
    <w:rsid w:val="003543EA"/>
    <w:rsid w:val="003545B2"/>
    <w:rsid w:val="003547E5"/>
    <w:rsid w:val="0035521E"/>
    <w:rsid w:val="00355320"/>
    <w:rsid w:val="00355783"/>
    <w:rsid w:val="00355C12"/>
    <w:rsid w:val="00356457"/>
    <w:rsid w:val="003569BD"/>
    <w:rsid w:val="00357FC9"/>
    <w:rsid w:val="003605E7"/>
    <w:rsid w:val="0036135D"/>
    <w:rsid w:val="00362B3D"/>
    <w:rsid w:val="00365A86"/>
    <w:rsid w:val="00365DE7"/>
    <w:rsid w:val="003668CF"/>
    <w:rsid w:val="003668F2"/>
    <w:rsid w:val="00367010"/>
    <w:rsid w:val="00371E07"/>
    <w:rsid w:val="0037559F"/>
    <w:rsid w:val="00375B28"/>
    <w:rsid w:val="00375B6A"/>
    <w:rsid w:val="0037675E"/>
    <w:rsid w:val="003774FD"/>
    <w:rsid w:val="00377E94"/>
    <w:rsid w:val="00381090"/>
    <w:rsid w:val="00381510"/>
    <w:rsid w:val="00381CD7"/>
    <w:rsid w:val="0038250D"/>
    <w:rsid w:val="00385BC3"/>
    <w:rsid w:val="00385F76"/>
    <w:rsid w:val="003864F6"/>
    <w:rsid w:val="00390E31"/>
    <w:rsid w:val="00391737"/>
    <w:rsid w:val="0039344D"/>
    <w:rsid w:val="00393638"/>
    <w:rsid w:val="00393E05"/>
    <w:rsid w:val="0039574B"/>
    <w:rsid w:val="00396A04"/>
    <w:rsid w:val="00396B66"/>
    <w:rsid w:val="00397570"/>
    <w:rsid w:val="003A12B1"/>
    <w:rsid w:val="003A3349"/>
    <w:rsid w:val="003A367D"/>
    <w:rsid w:val="003A6359"/>
    <w:rsid w:val="003A6698"/>
    <w:rsid w:val="003A7570"/>
    <w:rsid w:val="003A7757"/>
    <w:rsid w:val="003A7CA2"/>
    <w:rsid w:val="003A7CC0"/>
    <w:rsid w:val="003B02B3"/>
    <w:rsid w:val="003B0C77"/>
    <w:rsid w:val="003B22E9"/>
    <w:rsid w:val="003B2329"/>
    <w:rsid w:val="003B3A2C"/>
    <w:rsid w:val="003B3E18"/>
    <w:rsid w:val="003B3F0B"/>
    <w:rsid w:val="003B424D"/>
    <w:rsid w:val="003B68CD"/>
    <w:rsid w:val="003B6E10"/>
    <w:rsid w:val="003C1670"/>
    <w:rsid w:val="003C19BF"/>
    <w:rsid w:val="003C4D24"/>
    <w:rsid w:val="003C56CF"/>
    <w:rsid w:val="003C63BE"/>
    <w:rsid w:val="003C6909"/>
    <w:rsid w:val="003C6A25"/>
    <w:rsid w:val="003C6B82"/>
    <w:rsid w:val="003C6D3A"/>
    <w:rsid w:val="003D0615"/>
    <w:rsid w:val="003D079C"/>
    <w:rsid w:val="003D092D"/>
    <w:rsid w:val="003D4478"/>
    <w:rsid w:val="003D4A34"/>
    <w:rsid w:val="003D6235"/>
    <w:rsid w:val="003D6776"/>
    <w:rsid w:val="003E080A"/>
    <w:rsid w:val="003E0917"/>
    <w:rsid w:val="003E2013"/>
    <w:rsid w:val="003E358F"/>
    <w:rsid w:val="003E37EE"/>
    <w:rsid w:val="003E396F"/>
    <w:rsid w:val="003E5FF2"/>
    <w:rsid w:val="003E63A2"/>
    <w:rsid w:val="003F046A"/>
    <w:rsid w:val="003F10F8"/>
    <w:rsid w:val="003F44CD"/>
    <w:rsid w:val="003F4EA4"/>
    <w:rsid w:val="003F5CF6"/>
    <w:rsid w:val="003F6ACA"/>
    <w:rsid w:val="003F73F9"/>
    <w:rsid w:val="003F7A89"/>
    <w:rsid w:val="003F7AF4"/>
    <w:rsid w:val="0040003B"/>
    <w:rsid w:val="004005AC"/>
    <w:rsid w:val="004007BE"/>
    <w:rsid w:val="00401630"/>
    <w:rsid w:val="004023B4"/>
    <w:rsid w:val="004023E0"/>
    <w:rsid w:val="00402A15"/>
    <w:rsid w:val="0040434F"/>
    <w:rsid w:val="00404397"/>
    <w:rsid w:val="00405F21"/>
    <w:rsid w:val="00406B07"/>
    <w:rsid w:val="00406FBE"/>
    <w:rsid w:val="0041039C"/>
    <w:rsid w:val="00410BE9"/>
    <w:rsid w:val="00414091"/>
    <w:rsid w:val="00414200"/>
    <w:rsid w:val="004162F1"/>
    <w:rsid w:val="0042197D"/>
    <w:rsid w:val="0042254E"/>
    <w:rsid w:val="004248D9"/>
    <w:rsid w:val="00425D30"/>
    <w:rsid w:val="00426482"/>
    <w:rsid w:val="004268A6"/>
    <w:rsid w:val="00427CE2"/>
    <w:rsid w:val="004308FD"/>
    <w:rsid w:val="004314A5"/>
    <w:rsid w:val="00434D7D"/>
    <w:rsid w:val="004353EE"/>
    <w:rsid w:val="00435F83"/>
    <w:rsid w:val="004362A6"/>
    <w:rsid w:val="00440136"/>
    <w:rsid w:val="0044051D"/>
    <w:rsid w:val="00441803"/>
    <w:rsid w:val="0044348E"/>
    <w:rsid w:val="004449A8"/>
    <w:rsid w:val="00445A50"/>
    <w:rsid w:val="00446A81"/>
    <w:rsid w:val="00446B21"/>
    <w:rsid w:val="00446C51"/>
    <w:rsid w:val="004472F0"/>
    <w:rsid w:val="004516D9"/>
    <w:rsid w:val="00454D72"/>
    <w:rsid w:val="004555DD"/>
    <w:rsid w:val="00455719"/>
    <w:rsid w:val="004561E9"/>
    <w:rsid w:val="004562CD"/>
    <w:rsid w:val="0045656F"/>
    <w:rsid w:val="00456611"/>
    <w:rsid w:val="00460CE3"/>
    <w:rsid w:val="00461DC3"/>
    <w:rsid w:val="0046279C"/>
    <w:rsid w:val="00462C37"/>
    <w:rsid w:val="00463434"/>
    <w:rsid w:val="00463E98"/>
    <w:rsid w:val="004648FA"/>
    <w:rsid w:val="00464AED"/>
    <w:rsid w:val="0046568A"/>
    <w:rsid w:val="00470854"/>
    <w:rsid w:val="00473382"/>
    <w:rsid w:val="00473B1D"/>
    <w:rsid w:val="00473DA2"/>
    <w:rsid w:val="00475C30"/>
    <w:rsid w:val="0047738F"/>
    <w:rsid w:val="00477DA1"/>
    <w:rsid w:val="004803F0"/>
    <w:rsid w:val="004806BE"/>
    <w:rsid w:val="00481A82"/>
    <w:rsid w:val="00484ADF"/>
    <w:rsid w:val="00486DF5"/>
    <w:rsid w:val="00492D8F"/>
    <w:rsid w:val="004933CA"/>
    <w:rsid w:val="00493464"/>
    <w:rsid w:val="004939DF"/>
    <w:rsid w:val="00493D01"/>
    <w:rsid w:val="0049586B"/>
    <w:rsid w:val="00495918"/>
    <w:rsid w:val="00495B40"/>
    <w:rsid w:val="004A2289"/>
    <w:rsid w:val="004A26E1"/>
    <w:rsid w:val="004A39EE"/>
    <w:rsid w:val="004A51ED"/>
    <w:rsid w:val="004A6FCC"/>
    <w:rsid w:val="004B13DF"/>
    <w:rsid w:val="004B1759"/>
    <w:rsid w:val="004B1ABD"/>
    <w:rsid w:val="004B23FC"/>
    <w:rsid w:val="004B245B"/>
    <w:rsid w:val="004B254E"/>
    <w:rsid w:val="004B3C0A"/>
    <w:rsid w:val="004B3F38"/>
    <w:rsid w:val="004B4DAA"/>
    <w:rsid w:val="004B64A6"/>
    <w:rsid w:val="004B7202"/>
    <w:rsid w:val="004B7CAD"/>
    <w:rsid w:val="004C0503"/>
    <w:rsid w:val="004C07F9"/>
    <w:rsid w:val="004C103A"/>
    <w:rsid w:val="004C1092"/>
    <w:rsid w:val="004C1338"/>
    <w:rsid w:val="004C17FB"/>
    <w:rsid w:val="004C4EEC"/>
    <w:rsid w:val="004C506A"/>
    <w:rsid w:val="004C7417"/>
    <w:rsid w:val="004D0343"/>
    <w:rsid w:val="004D1B68"/>
    <w:rsid w:val="004D1FC0"/>
    <w:rsid w:val="004D210B"/>
    <w:rsid w:val="004D24D3"/>
    <w:rsid w:val="004D279E"/>
    <w:rsid w:val="004D27EE"/>
    <w:rsid w:val="004D5BA3"/>
    <w:rsid w:val="004D65D7"/>
    <w:rsid w:val="004D6ABC"/>
    <w:rsid w:val="004E1034"/>
    <w:rsid w:val="004E13AF"/>
    <w:rsid w:val="004E2CA0"/>
    <w:rsid w:val="004E3133"/>
    <w:rsid w:val="004E40FD"/>
    <w:rsid w:val="004E494B"/>
    <w:rsid w:val="004E789F"/>
    <w:rsid w:val="004F0E4B"/>
    <w:rsid w:val="004F1BA1"/>
    <w:rsid w:val="004F1F65"/>
    <w:rsid w:val="004F1FFD"/>
    <w:rsid w:val="004F49AA"/>
    <w:rsid w:val="004F521A"/>
    <w:rsid w:val="004F551E"/>
    <w:rsid w:val="004F7DD6"/>
    <w:rsid w:val="005005B8"/>
    <w:rsid w:val="0050109F"/>
    <w:rsid w:val="00505AF3"/>
    <w:rsid w:val="00505D56"/>
    <w:rsid w:val="005066F6"/>
    <w:rsid w:val="00510467"/>
    <w:rsid w:val="00513D6F"/>
    <w:rsid w:val="00514DB2"/>
    <w:rsid w:val="00515920"/>
    <w:rsid w:val="00515AD8"/>
    <w:rsid w:val="00515DE0"/>
    <w:rsid w:val="00520345"/>
    <w:rsid w:val="00520BE3"/>
    <w:rsid w:val="00522A8B"/>
    <w:rsid w:val="0052442F"/>
    <w:rsid w:val="00524BB2"/>
    <w:rsid w:val="005263D9"/>
    <w:rsid w:val="00527866"/>
    <w:rsid w:val="0053047C"/>
    <w:rsid w:val="00530AC8"/>
    <w:rsid w:val="0053145E"/>
    <w:rsid w:val="0053190B"/>
    <w:rsid w:val="005338D3"/>
    <w:rsid w:val="00533DD2"/>
    <w:rsid w:val="00533E19"/>
    <w:rsid w:val="0053559E"/>
    <w:rsid w:val="0053566B"/>
    <w:rsid w:val="0053734B"/>
    <w:rsid w:val="00540381"/>
    <w:rsid w:val="00542411"/>
    <w:rsid w:val="005425E9"/>
    <w:rsid w:val="005429EF"/>
    <w:rsid w:val="00543A0A"/>
    <w:rsid w:val="005444AB"/>
    <w:rsid w:val="00546B5F"/>
    <w:rsid w:val="005514F5"/>
    <w:rsid w:val="00552904"/>
    <w:rsid w:val="00552EB0"/>
    <w:rsid w:val="00554716"/>
    <w:rsid w:val="00555D3D"/>
    <w:rsid w:val="00555F4E"/>
    <w:rsid w:val="00556252"/>
    <w:rsid w:val="00561803"/>
    <w:rsid w:val="00562652"/>
    <w:rsid w:val="0056358F"/>
    <w:rsid w:val="005649C0"/>
    <w:rsid w:val="00565752"/>
    <w:rsid w:val="00566969"/>
    <w:rsid w:val="00566EBF"/>
    <w:rsid w:val="005714E6"/>
    <w:rsid w:val="00571569"/>
    <w:rsid w:val="00574F97"/>
    <w:rsid w:val="00575BCE"/>
    <w:rsid w:val="0057730A"/>
    <w:rsid w:val="00577623"/>
    <w:rsid w:val="0058155C"/>
    <w:rsid w:val="00582047"/>
    <w:rsid w:val="00582184"/>
    <w:rsid w:val="00583D6C"/>
    <w:rsid w:val="00584568"/>
    <w:rsid w:val="00584BC8"/>
    <w:rsid w:val="00586890"/>
    <w:rsid w:val="00591469"/>
    <w:rsid w:val="00594A7C"/>
    <w:rsid w:val="00595C2D"/>
    <w:rsid w:val="005966F6"/>
    <w:rsid w:val="0059789A"/>
    <w:rsid w:val="00597910"/>
    <w:rsid w:val="005A133E"/>
    <w:rsid w:val="005A13C5"/>
    <w:rsid w:val="005A1D6C"/>
    <w:rsid w:val="005A2CFB"/>
    <w:rsid w:val="005A2F37"/>
    <w:rsid w:val="005A2FF2"/>
    <w:rsid w:val="005A371A"/>
    <w:rsid w:val="005A4063"/>
    <w:rsid w:val="005A47ED"/>
    <w:rsid w:val="005A506E"/>
    <w:rsid w:val="005A5A3E"/>
    <w:rsid w:val="005A5D29"/>
    <w:rsid w:val="005A7989"/>
    <w:rsid w:val="005B02AB"/>
    <w:rsid w:val="005B0C27"/>
    <w:rsid w:val="005B17BE"/>
    <w:rsid w:val="005B18ED"/>
    <w:rsid w:val="005B31F7"/>
    <w:rsid w:val="005B3992"/>
    <w:rsid w:val="005B4832"/>
    <w:rsid w:val="005B58FF"/>
    <w:rsid w:val="005B6384"/>
    <w:rsid w:val="005B68C3"/>
    <w:rsid w:val="005B6E0F"/>
    <w:rsid w:val="005B716F"/>
    <w:rsid w:val="005C133A"/>
    <w:rsid w:val="005C190A"/>
    <w:rsid w:val="005C204E"/>
    <w:rsid w:val="005C22D6"/>
    <w:rsid w:val="005C2F53"/>
    <w:rsid w:val="005C3F28"/>
    <w:rsid w:val="005C48D3"/>
    <w:rsid w:val="005C5DD4"/>
    <w:rsid w:val="005D0029"/>
    <w:rsid w:val="005D05C7"/>
    <w:rsid w:val="005D33F6"/>
    <w:rsid w:val="005D34E3"/>
    <w:rsid w:val="005D3847"/>
    <w:rsid w:val="005D4320"/>
    <w:rsid w:val="005D4B0F"/>
    <w:rsid w:val="005D4F6E"/>
    <w:rsid w:val="005D66B3"/>
    <w:rsid w:val="005D6B6E"/>
    <w:rsid w:val="005E24DC"/>
    <w:rsid w:val="005E28B9"/>
    <w:rsid w:val="005E318B"/>
    <w:rsid w:val="005E34BD"/>
    <w:rsid w:val="005E494D"/>
    <w:rsid w:val="005E4A3E"/>
    <w:rsid w:val="005E662E"/>
    <w:rsid w:val="005E6BD7"/>
    <w:rsid w:val="005E71B7"/>
    <w:rsid w:val="005F0EF5"/>
    <w:rsid w:val="005F1B7A"/>
    <w:rsid w:val="005F27A0"/>
    <w:rsid w:val="005F2815"/>
    <w:rsid w:val="005F3CF4"/>
    <w:rsid w:val="005F592F"/>
    <w:rsid w:val="005F6E40"/>
    <w:rsid w:val="00601913"/>
    <w:rsid w:val="006023DC"/>
    <w:rsid w:val="00603973"/>
    <w:rsid w:val="0060421A"/>
    <w:rsid w:val="00604A61"/>
    <w:rsid w:val="0061096F"/>
    <w:rsid w:val="00610AB2"/>
    <w:rsid w:val="00611280"/>
    <w:rsid w:val="00611340"/>
    <w:rsid w:val="00611644"/>
    <w:rsid w:val="00612B68"/>
    <w:rsid w:val="0061330D"/>
    <w:rsid w:val="00615991"/>
    <w:rsid w:val="00615AA1"/>
    <w:rsid w:val="00615FE9"/>
    <w:rsid w:val="006174FC"/>
    <w:rsid w:val="0062007D"/>
    <w:rsid w:val="00622505"/>
    <w:rsid w:val="006234A3"/>
    <w:rsid w:val="00623B34"/>
    <w:rsid w:val="00624309"/>
    <w:rsid w:val="00624E3D"/>
    <w:rsid w:val="006259CC"/>
    <w:rsid w:val="006308CD"/>
    <w:rsid w:val="006314DE"/>
    <w:rsid w:val="0063243B"/>
    <w:rsid w:val="006324F0"/>
    <w:rsid w:val="00634816"/>
    <w:rsid w:val="00634CC1"/>
    <w:rsid w:val="00634DBB"/>
    <w:rsid w:val="00635197"/>
    <w:rsid w:val="00635FA5"/>
    <w:rsid w:val="0063636E"/>
    <w:rsid w:val="006363AA"/>
    <w:rsid w:val="0063758C"/>
    <w:rsid w:val="00637985"/>
    <w:rsid w:val="00642FB2"/>
    <w:rsid w:val="00643DFD"/>
    <w:rsid w:val="0064474A"/>
    <w:rsid w:val="006449AD"/>
    <w:rsid w:val="00644A56"/>
    <w:rsid w:val="00644DAA"/>
    <w:rsid w:val="00645209"/>
    <w:rsid w:val="00646267"/>
    <w:rsid w:val="006467F1"/>
    <w:rsid w:val="00646A8A"/>
    <w:rsid w:val="00646C74"/>
    <w:rsid w:val="00647401"/>
    <w:rsid w:val="006474B2"/>
    <w:rsid w:val="0064777F"/>
    <w:rsid w:val="00647931"/>
    <w:rsid w:val="0064796D"/>
    <w:rsid w:val="00650169"/>
    <w:rsid w:val="00650762"/>
    <w:rsid w:val="0065247A"/>
    <w:rsid w:val="00652918"/>
    <w:rsid w:val="00652E1B"/>
    <w:rsid w:val="00652E45"/>
    <w:rsid w:val="006532ED"/>
    <w:rsid w:val="00653F32"/>
    <w:rsid w:val="00654DEF"/>
    <w:rsid w:val="006556FA"/>
    <w:rsid w:val="00656BD4"/>
    <w:rsid w:val="00657167"/>
    <w:rsid w:val="00657250"/>
    <w:rsid w:val="006600DC"/>
    <w:rsid w:val="0066041B"/>
    <w:rsid w:val="00660605"/>
    <w:rsid w:val="006615B3"/>
    <w:rsid w:val="006622B7"/>
    <w:rsid w:val="006628FB"/>
    <w:rsid w:val="00662E0D"/>
    <w:rsid w:val="0066383C"/>
    <w:rsid w:val="0066428B"/>
    <w:rsid w:val="00664C4E"/>
    <w:rsid w:val="00665BFE"/>
    <w:rsid w:val="00670C79"/>
    <w:rsid w:val="00670DA7"/>
    <w:rsid w:val="00671536"/>
    <w:rsid w:val="0067280E"/>
    <w:rsid w:val="00673533"/>
    <w:rsid w:val="0067373F"/>
    <w:rsid w:val="006737CE"/>
    <w:rsid w:val="006738F8"/>
    <w:rsid w:val="00674168"/>
    <w:rsid w:val="00674D58"/>
    <w:rsid w:val="00674E7A"/>
    <w:rsid w:val="006751FA"/>
    <w:rsid w:val="0067569B"/>
    <w:rsid w:val="00677B92"/>
    <w:rsid w:val="00680184"/>
    <w:rsid w:val="00680196"/>
    <w:rsid w:val="006801F0"/>
    <w:rsid w:val="006803EA"/>
    <w:rsid w:val="006813E4"/>
    <w:rsid w:val="00682F6F"/>
    <w:rsid w:val="00683D39"/>
    <w:rsid w:val="006877F6"/>
    <w:rsid w:val="00687A8C"/>
    <w:rsid w:val="0069300C"/>
    <w:rsid w:val="00693450"/>
    <w:rsid w:val="006952C9"/>
    <w:rsid w:val="00695912"/>
    <w:rsid w:val="00696435"/>
    <w:rsid w:val="006964C3"/>
    <w:rsid w:val="00697C9C"/>
    <w:rsid w:val="006A53C9"/>
    <w:rsid w:val="006A7045"/>
    <w:rsid w:val="006A7FEA"/>
    <w:rsid w:val="006B0230"/>
    <w:rsid w:val="006B075E"/>
    <w:rsid w:val="006B0F3D"/>
    <w:rsid w:val="006B135C"/>
    <w:rsid w:val="006B5762"/>
    <w:rsid w:val="006C162F"/>
    <w:rsid w:val="006C185A"/>
    <w:rsid w:val="006C1EBB"/>
    <w:rsid w:val="006C3986"/>
    <w:rsid w:val="006C4F78"/>
    <w:rsid w:val="006C5678"/>
    <w:rsid w:val="006C63AE"/>
    <w:rsid w:val="006C63C2"/>
    <w:rsid w:val="006C711B"/>
    <w:rsid w:val="006D07D6"/>
    <w:rsid w:val="006D09F8"/>
    <w:rsid w:val="006D2138"/>
    <w:rsid w:val="006D2361"/>
    <w:rsid w:val="006D28C2"/>
    <w:rsid w:val="006D37D0"/>
    <w:rsid w:val="006D46AF"/>
    <w:rsid w:val="006D46B5"/>
    <w:rsid w:val="006D52AD"/>
    <w:rsid w:val="006D6113"/>
    <w:rsid w:val="006E08CC"/>
    <w:rsid w:val="006E1DDD"/>
    <w:rsid w:val="006E2AD2"/>
    <w:rsid w:val="006E2EDF"/>
    <w:rsid w:val="006E48E4"/>
    <w:rsid w:val="006E4FBF"/>
    <w:rsid w:val="006E5B93"/>
    <w:rsid w:val="006E6287"/>
    <w:rsid w:val="006E718D"/>
    <w:rsid w:val="006E7C08"/>
    <w:rsid w:val="006F1F12"/>
    <w:rsid w:val="006F28C3"/>
    <w:rsid w:val="006F2A8A"/>
    <w:rsid w:val="006F2F9D"/>
    <w:rsid w:val="006F350D"/>
    <w:rsid w:val="006F4543"/>
    <w:rsid w:val="006F57C0"/>
    <w:rsid w:val="006F5A69"/>
    <w:rsid w:val="006F66B1"/>
    <w:rsid w:val="006F72EC"/>
    <w:rsid w:val="006F7D98"/>
    <w:rsid w:val="00702007"/>
    <w:rsid w:val="007050B8"/>
    <w:rsid w:val="00705D4A"/>
    <w:rsid w:val="00705F15"/>
    <w:rsid w:val="00707949"/>
    <w:rsid w:val="007118D7"/>
    <w:rsid w:val="00712405"/>
    <w:rsid w:val="00712C22"/>
    <w:rsid w:val="00713515"/>
    <w:rsid w:val="00717CD5"/>
    <w:rsid w:val="00720217"/>
    <w:rsid w:val="00721E13"/>
    <w:rsid w:val="00723783"/>
    <w:rsid w:val="00723AC4"/>
    <w:rsid w:val="00723BA7"/>
    <w:rsid w:val="00723E83"/>
    <w:rsid w:val="0072479B"/>
    <w:rsid w:val="00724EF9"/>
    <w:rsid w:val="0072598F"/>
    <w:rsid w:val="0072599B"/>
    <w:rsid w:val="00725A79"/>
    <w:rsid w:val="007263F0"/>
    <w:rsid w:val="00726D70"/>
    <w:rsid w:val="007271BF"/>
    <w:rsid w:val="00727AF1"/>
    <w:rsid w:val="00727BB5"/>
    <w:rsid w:val="00727F76"/>
    <w:rsid w:val="00730AD6"/>
    <w:rsid w:val="007314E7"/>
    <w:rsid w:val="00733111"/>
    <w:rsid w:val="00733688"/>
    <w:rsid w:val="00733944"/>
    <w:rsid w:val="00734047"/>
    <w:rsid w:val="00735154"/>
    <w:rsid w:val="007359E9"/>
    <w:rsid w:val="00736249"/>
    <w:rsid w:val="00736318"/>
    <w:rsid w:val="007377E7"/>
    <w:rsid w:val="007406B5"/>
    <w:rsid w:val="00740823"/>
    <w:rsid w:val="00741837"/>
    <w:rsid w:val="00741AA7"/>
    <w:rsid w:val="00742A0B"/>
    <w:rsid w:val="00742BEF"/>
    <w:rsid w:val="0074315A"/>
    <w:rsid w:val="00745BB3"/>
    <w:rsid w:val="007478F2"/>
    <w:rsid w:val="00752622"/>
    <w:rsid w:val="00752B06"/>
    <w:rsid w:val="007541DF"/>
    <w:rsid w:val="00757DD1"/>
    <w:rsid w:val="00757F29"/>
    <w:rsid w:val="007600AE"/>
    <w:rsid w:val="00760C9F"/>
    <w:rsid w:val="0076289B"/>
    <w:rsid w:val="00762B21"/>
    <w:rsid w:val="00763CC1"/>
    <w:rsid w:val="007640CC"/>
    <w:rsid w:val="007642C7"/>
    <w:rsid w:val="00764804"/>
    <w:rsid w:val="007678A9"/>
    <w:rsid w:val="00770E01"/>
    <w:rsid w:val="00771F93"/>
    <w:rsid w:val="00774611"/>
    <w:rsid w:val="0077582F"/>
    <w:rsid w:val="00775875"/>
    <w:rsid w:val="007806D3"/>
    <w:rsid w:val="00781C39"/>
    <w:rsid w:val="00782470"/>
    <w:rsid w:val="007826F0"/>
    <w:rsid w:val="0078437B"/>
    <w:rsid w:val="00784848"/>
    <w:rsid w:val="00784A78"/>
    <w:rsid w:val="00784C56"/>
    <w:rsid w:val="00785151"/>
    <w:rsid w:val="00785492"/>
    <w:rsid w:val="00786699"/>
    <w:rsid w:val="007872E4"/>
    <w:rsid w:val="00787457"/>
    <w:rsid w:val="00787A65"/>
    <w:rsid w:val="007912A9"/>
    <w:rsid w:val="007928CE"/>
    <w:rsid w:val="00793546"/>
    <w:rsid w:val="00793B14"/>
    <w:rsid w:val="007949E0"/>
    <w:rsid w:val="00794CB0"/>
    <w:rsid w:val="00795327"/>
    <w:rsid w:val="00795ECB"/>
    <w:rsid w:val="007975A4"/>
    <w:rsid w:val="00797A35"/>
    <w:rsid w:val="007A092D"/>
    <w:rsid w:val="007A20E4"/>
    <w:rsid w:val="007A28A7"/>
    <w:rsid w:val="007A294C"/>
    <w:rsid w:val="007A355E"/>
    <w:rsid w:val="007A4087"/>
    <w:rsid w:val="007A506B"/>
    <w:rsid w:val="007A5914"/>
    <w:rsid w:val="007A5DF7"/>
    <w:rsid w:val="007A734F"/>
    <w:rsid w:val="007A7500"/>
    <w:rsid w:val="007B2B11"/>
    <w:rsid w:val="007B32E1"/>
    <w:rsid w:val="007B37F8"/>
    <w:rsid w:val="007B5462"/>
    <w:rsid w:val="007B5C1D"/>
    <w:rsid w:val="007B66A7"/>
    <w:rsid w:val="007C16BF"/>
    <w:rsid w:val="007C358C"/>
    <w:rsid w:val="007C3CB1"/>
    <w:rsid w:val="007D0273"/>
    <w:rsid w:val="007D1511"/>
    <w:rsid w:val="007D1532"/>
    <w:rsid w:val="007D1B4B"/>
    <w:rsid w:val="007D26F6"/>
    <w:rsid w:val="007D383B"/>
    <w:rsid w:val="007D59C7"/>
    <w:rsid w:val="007D5B0F"/>
    <w:rsid w:val="007D5B8E"/>
    <w:rsid w:val="007D6BE6"/>
    <w:rsid w:val="007E2B3E"/>
    <w:rsid w:val="007E2F46"/>
    <w:rsid w:val="007E315C"/>
    <w:rsid w:val="007E4CE7"/>
    <w:rsid w:val="007E6D8E"/>
    <w:rsid w:val="007E7000"/>
    <w:rsid w:val="007F14F5"/>
    <w:rsid w:val="007F493A"/>
    <w:rsid w:val="007F7226"/>
    <w:rsid w:val="0080159B"/>
    <w:rsid w:val="008023EE"/>
    <w:rsid w:val="008041B9"/>
    <w:rsid w:val="008042E9"/>
    <w:rsid w:val="0080435E"/>
    <w:rsid w:val="008050FB"/>
    <w:rsid w:val="00805594"/>
    <w:rsid w:val="00805A80"/>
    <w:rsid w:val="00805D3D"/>
    <w:rsid w:val="00806A0E"/>
    <w:rsid w:val="00810336"/>
    <w:rsid w:val="00812F1A"/>
    <w:rsid w:val="008147DC"/>
    <w:rsid w:val="00816500"/>
    <w:rsid w:val="00820027"/>
    <w:rsid w:val="00820EC8"/>
    <w:rsid w:val="00821135"/>
    <w:rsid w:val="00821A2E"/>
    <w:rsid w:val="00821E21"/>
    <w:rsid w:val="00822951"/>
    <w:rsid w:val="008236DD"/>
    <w:rsid w:val="00823B75"/>
    <w:rsid w:val="00823B92"/>
    <w:rsid w:val="00824F0E"/>
    <w:rsid w:val="008259E4"/>
    <w:rsid w:val="0082602F"/>
    <w:rsid w:val="00826EC6"/>
    <w:rsid w:val="00826EED"/>
    <w:rsid w:val="0082711F"/>
    <w:rsid w:val="0083055F"/>
    <w:rsid w:val="00830CBA"/>
    <w:rsid w:val="00831008"/>
    <w:rsid w:val="008311B3"/>
    <w:rsid w:val="00832E69"/>
    <w:rsid w:val="00833990"/>
    <w:rsid w:val="008339F9"/>
    <w:rsid w:val="00833F5C"/>
    <w:rsid w:val="00834D8E"/>
    <w:rsid w:val="00834DCD"/>
    <w:rsid w:val="0083745F"/>
    <w:rsid w:val="00837BAB"/>
    <w:rsid w:val="0084215A"/>
    <w:rsid w:val="00842DDA"/>
    <w:rsid w:val="00843606"/>
    <w:rsid w:val="008438F3"/>
    <w:rsid w:val="00843E24"/>
    <w:rsid w:val="008441CD"/>
    <w:rsid w:val="00846335"/>
    <w:rsid w:val="0084634B"/>
    <w:rsid w:val="0084657A"/>
    <w:rsid w:val="00847EA6"/>
    <w:rsid w:val="0085023F"/>
    <w:rsid w:val="00850946"/>
    <w:rsid w:val="008532C2"/>
    <w:rsid w:val="00854B3C"/>
    <w:rsid w:val="008568B2"/>
    <w:rsid w:val="00857F6E"/>
    <w:rsid w:val="00861374"/>
    <w:rsid w:val="008619CE"/>
    <w:rsid w:val="00862B66"/>
    <w:rsid w:val="00867C9A"/>
    <w:rsid w:val="008705E3"/>
    <w:rsid w:val="00870635"/>
    <w:rsid w:val="0087248D"/>
    <w:rsid w:val="00873608"/>
    <w:rsid w:val="00873E3D"/>
    <w:rsid w:val="008752C0"/>
    <w:rsid w:val="00875BCB"/>
    <w:rsid w:val="00876521"/>
    <w:rsid w:val="00880D07"/>
    <w:rsid w:val="00881537"/>
    <w:rsid w:val="00881C96"/>
    <w:rsid w:val="00883375"/>
    <w:rsid w:val="008838DB"/>
    <w:rsid w:val="008844BF"/>
    <w:rsid w:val="0088623E"/>
    <w:rsid w:val="00886E1E"/>
    <w:rsid w:val="0089074E"/>
    <w:rsid w:val="008907E2"/>
    <w:rsid w:val="008909E5"/>
    <w:rsid w:val="00890D08"/>
    <w:rsid w:val="0089204E"/>
    <w:rsid w:val="00893292"/>
    <w:rsid w:val="00894A0A"/>
    <w:rsid w:val="00894B05"/>
    <w:rsid w:val="008955BC"/>
    <w:rsid w:val="008965DD"/>
    <w:rsid w:val="008975E9"/>
    <w:rsid w:val="008A0E87"/>
    <w:rsid w:val="008A10F4"/>
    <w:rsid w:val="008A1CD6"/>
    <w:rsid w:val="008A2683"/>
    <w:rsid w:val="008A2707"/>
    <w:rsid w:val="008A2CEF"/>
    <w:rsid w:val="008A3EC9"/>
    <w:rsid w:val="008A44AD"/>
    <w:rsid w:val="008A45B5"/>
    <w:rsid w:val="008A479D"/>
    <w:rsid w:val="008A4B30"/>
    <w:rsid w:val="008A4D7C"/>
    <w:rsid w:val="008A5644"/>
    <w:rsid w:val="008A5ED1"/>
    <w:rsid w:val="008A6377"/>
    <w:rsid w:val="008B0FB3"/>
    <w:rsid w:val="008B0FCC"/>
    <w:rsid w:val="008B186A"/>
    <w:rsid w:val="008B22B5"/>
    <w:rsid w:val="008B2AA3"/>
    <w:rsid w:val="008B2BFB"/>
    <w:rsid w:val="008B32E9"/>
    <w:rsid w:val="008B33C1"/>
    <w:rsid w:val="008B4F8B"/>
    <w:rsid w:val="008B707D"/>
    <w:rsid w:val="008B7525"/>
    <w:rsid w:val="008B7A75"/>
    <w:rsid w:val="008C1811"/>
    <w:rsid w:val="008C24AD"/>
    <w:rsid w:val="008C2535"/>
    <w:rsid w:val="008C2751"/>
    <w:rsid w:val="008C40BC"/>
    <w:rsid w:val="008C471E"/>
    <w:rsid w:val="008C502F"/>
    <w:rsid w:val="008C6322"/>
    <w:rsid w:val="008C7047"/>
    <w:rsid w:val="008D050C"/>
    <w:rsid w:val="008D0751"/>
    <w:rsid w:val="008D3085"/>
    <w:rsid w:val="008D4016"/>
    <w:rsid w:val="008D498E"/>
    <w:rsid w:val="008D4B12"/>
    <w:rsid w:val="008D7AA7"/>
    <w:rsid w:val="008E14AF"/>
    <w:rsid w:val="008E1534"/>
    <w:rsid w:val="008E3D03"/>
    <w:rsid w:val="008E43D1"/>
    <w:rsid w:val="008E48D1"/>
    <w:rsid w:val="008E534F"/>
    <w:rsid w:val="008E56F8"/>
    <w:rsid w:val="008E5DAF"/>
    <w:rsid w:val="008E61EE"/>
    <w:rsid w:val="008E64CB"/>
    <w:rsid w:val="008F06E5"/>
    <w:rsid w:val="008F12EC"/>
    <w:rsid w:val="008F29CC"/>
    <w:rsid w:val="008F2D62"/>
    <w:rsid w:val="008F32CD"/>
    <w:rsid w:val="008F3303"/>
    <w:rsid w:val="008F35A0"/>
    <w:rsid w:val="008F41E3"/>
    <w:rsid w:val="008F4914"/>
    <w:rsid w:val="008F6907"/>
    <w:rsid w:val="008F7D31"/>
    <w:rsid w:val="008F7D4B"/>
    <w:rsid w:val="009009A6"/>
    <w:rsid w:val="00901A7B"/>
    <w:rsid w:val="00902751"/>
    <w:rsid w:val="0090277D"/>
    <w:rsid w:val="00903EB7"/>
    <w:rsid w:val="0090418B"/>
    <w:rsid w:val="00905E05"/>
    <w:rsid w:val="0090626B"/>
    <w:rsid w:val="009064F7"/>
    <w:rsid w:val="009079AE"/>
    <w:rsid w:val="00907A27"/>
    <w:rsid w:val="00907A95"/>
    <w:rsid w:val="00907AEA"/>
    <w:rsid w:val="00910134"/>
    <w:rsid w:val="00911BC0"/>
    <w:rsid w:val="0091403A"/>
    <w:rsid w:val="00915DA8"/>
    <w:rsid w:val="00916869"/>
    <w:rsid w:val="00916B41"/>
    <w:rsid w:val="009176B0"/>
    <w:rsid w:val="009207DB"/>
    <w:rsid w:val="0092117E"/>
    <w:rsid w:val="00922398"/>
    <w:rsid w:val="00923B3E"/>
    <w:rsid w:val="009240BF"/>
    <w:rsid w:val="0092567A"/>
    <w:rsid w:val="0092665F"/>
    <w:rsid w:val="00926ABC"/>
    <w:rsid w:val="009276B0"/>
    <w:rsid w:val="00931AF0"/>
    <w:rsid w:val="0093537A"/>
    <w:rsid w:val="009359F1"/>
    <w:rsid w:val="00935C77"/>
    <w:rsid w:val="00935D53"/>
    <w:rsid w:val="00936CC4"/>
    <w:rsid w:val="00937743"/>
    <w:rsid w:val="009377B6"/>
    <w:rsid w:val="009377E2"/>
    <w:rsid w:val="0093793D"/>
    <w:rsid w:val="00940057"/>
    <w:rsid w:val="009404CF"/>
    <w:rsid w:val="00940D0C"/>
    <w:rsid w:val="00940FE3"/>
    <w:rsid w:val="0094243C"/>
    <w:rsid w:val="009425FF"/>
    <w:rsid w:val="00944ABA"/>
    <w:rsid w:val="00947EA6"/>
    <w:rsid w:val="009525E9"/>
    <w:rsid w:val="00953064"/>
    <w:rsid w:val="00953180"/>
    <w:rsid w:val="00953914"/>
    <w:rsid w:val="00954311"/>
    <w:rsid w:val="0095587D"/>
    <w:rsid w:val="00956192"/>
    <w:rsid w:val="009561EC"/>
    <w:rsid w:val="00956A27"/>
    <w:rsid w:val="0096047B"/>
    <w:rsid w:val="00960A9D"/>
    <w:rsid w:val="00962F03"/>
    <w:rsid w:val="00964CEC"/>
    <w:rsid w:val="00965DE3"/>
    <w:rsid w:val="0096680B"/>
    <w:rsid w:val="0096697E"/>
    <w:rsid w:val="00966D02"/>
    <w:rsid w:val="009678EA"/>
    <w:rsid w:val="00971BCC"/>
    <w:rsid w:val="00972192"/>
    <w:rsid w:val="0097282B"/>
    <w:rsid w:val="00973701"/>
    <w:rsid w:val="00973B5C"/>
    <w:rsid w:val="00973DEE"/>
    <w:rsid w:val="00975D7D"/>
    <w:rsid w:val="00976515"/>
    <w:rsid w:val="00980148"/>
    <w:rsid w:val="00980800"/>
    <w:rsid w:val="009817E8"/>
    <w:rsid w:val="00981C86"/>
    <w:rsid w:val="00982B95"/>
    <w:rsid w:val="009833F1"/>
    <w:rsid w:val="00983417"/>
    <w:rsid w:val="00983CAC"/>
    <w:rsid w:val="00983FBD"/>
    <w:rsid w:val="00984D55"/>
    <w:rsid w:val="00985AB5"/>
    <w:rsid w:val="009862DF"/>
    <w:rsid w:val="00986F46"/>
    <w:rsid w:val="00987A22"/>
    <w:rsid w:val="00990092"/>
    <w:rsid w:val="00990429"/>
    <w:rsid w:val="0099350E"/>
    <w:rsid w:val="00995B28"/>
    <w:rsid w:val="00996E8E"/>
    <w:rsid w:val="009A0544"/>
    <w:rsid w:val="009A06A1"/>
    <w:rsid w:val="009A2F27"/>
    <w:rsid w:val="009A4483"/>
    <w:rsid w:val="009A665B"/>
    <w:rsid w:val="009A6CC6"/>
    <w:rsid w:val="009A76F9"/>
    <w:rsid w:val="009B15B5"/>
    <w:rsid w:val="009B23EA"/>
    <w:rsid w:val="009B3290"/>
    <w:rsid w:val="009B381E"/>
    <w:rsid w:val="009B3985"/>
    <w:rsid w:val="009B6DEE"/>
    <w:rsid w:val="009B71DC"/>
    <w:rsid w:val="009C238D"/>
    <w:rsid w:val="009C25D9"/>
    <w:rsid w:val="009C2752"/>
    <w:rsid w:val="009C2B24"/>
    <w:rsid w:val="009C2D1E"/>
    <w:rsid w:val="009C44A4"/>
    <w:rsid w:val="009C5EAE"/>
    <w:rsid w:val="009C6624"/>
    <w:rsid w:val="009C6F12"/>
    <w:rsid w:val="009C7327"/>
    <w:rsid w:val="009D1BA6"/>
    <w:rsid w:val="009D4DAF"/>
    <w:rsid w:val="009D4F3B"/>
    <w:rsid w:val="009D5452"/>
    <w:rsid w:val="009D5A94"/>
    <w:rsid w:val="009D6969"/>
    <w:rsid w:val="009E1366"/>
    <w:rsid w:val="009E29C9"/>
    <w:rsid w:val="009E4949"/>
    <w:rsid w:val="009E5884"/>
    <w:rsid w:val="009E58ED"/>
    <w:rsid w:val="009E6374"/>
    <w:rsid w:val="009E63F1"/>
    <w:rsid w:val="009E6591"/>
    <w:rsid w:val="009E6712"/>
    <w:rsid w:val="009F06B0"/>
    <w:rsid w:val="009F22AF"/>
    <w:rsid w:val="009F327C"/>
    <w:rsid w:val="009F366F"/>
    <w:rsid w:val="009F4CAE"/>
    <w:rsid w:val="009F54C3"/>
    <w:rsid w:val="009F75F0"/>
    <w:rsid w:val="009F799C"/>
    <w:rsid w:val="009F7D5D"/>
    <w:rsid w:val="00A001AD"/>
    <w:rsid w:val="00A00346"/>
    <w:rsid w:val="00A03C1C"/>
    <w:rsid w:val="00A0637C"/>
    <w:rsid w:val="00A07A20"/>
    <w:rsid w:val="00A10891"/>
    <w:rsid w:val="00A112E7"/>
    <w:rsid w:val="00A12301"/>
    <w:rsid w:val="00A13C25"/>
    <w:rsid w:val="00A13D4F"/>
    <w:rsid w:val="00A17529"/>
    <w:rsid w:val="00A17682"/>
    <w:rsid w:val="00A20532"/>
    <w:rsid w:val="00A20814"/>
    <w:rsid w:val="00A20D72"/>
    <w:rsid w:val="00A21824"/>
    <w:rsid w:val="00A225D0"/>
    <w:rsid w:val="00A24686"/>
    <w:rsid w:val="00A25593"/>
    <w:rsid w:val="00A27068"/>
    <w:rsid w:val="00A2708A"/>
    <w:rsid w:val="00A30D74"/>
    <w:rsid w:val="00A33926"/>
    <w:rsid w:val="00A34796"/>
    <w:rsid w:val="00A35590"/>
    <w:rsid w:val="00A401BA"/>
    <w:rsid w:val="00A4290C"/>
    <w:rsid w:val="00A42D45"/>
    <w:rsid w:val="00A44D23"/>
    <w:rsid w:val="00A503B1"/>
    <w:rsid w:val="00A510BA"/>
    <w:rsid w:val="00A52229"/>
    <w:rsid w:val="00A53A86"/>
    <w:rsid w:val="00A54F6C"/>
    <w:rsid w:val="00A56581"/>
    <w:rsid w:val="00A56AF1"/>
    <w:rsid w:val="00A60FAE"/>
    <w:rsid w:val="00A61B9E"/>
    <w:rsid w:val="00A63839"/>
    <w:rsid w:val="00A6445C"/>
    <w:rsid w:val="00A6751F"/>
    <w:rsid w:val="00A70147"/>
    <w:rsid w:val="00A71064"/>
    <w:rsid w:val="00A73ACA"/>
    <w:rsid w:val="00A749BF"/>
    <w:rsid w:val="00A74CC6"/>
    <w:rsid w:val="00A75729"/>
    <w:rsid w:val="00A76B01"/>
    <w:rsid w:val="00A76DC3"/>
    <w:rsid w:val="00A77694"/>
    <w:rsid w:val="00A77929"/>
    <w:rsid w:val="00A80E81"/>
    <w:rsid w:val="00A822B2"/>
    <w:rsid w:val="00A82648"/>
    <w:rsid w:val="00A82B71"/>
    <w:rsid w:val="00A83729"/>
    <w:rsid w:val="00A84ABD"/>
    <w:rsid w:val="00A85D7B"/>
    <w:rsid w:val="00A86602"/>
    <w:rsid w:val="00A87739"/>
    <w:rsid w:val="00A8791F"/>
    <w:rsid w:val="00A87BEC"/>
    <w:rsid w:val="00A902E1"/>
    <w:rsid w:val="00A90503"/>
    <w:rsid w:val="00A92559"/>
    <w:rsid w:val="00A93216"/>
    <w:rsid w:val="00A938FC"/>
    <w:rsid w:val="00A93F34"/>
    <w:rsid w:val="00A94146"/>
    <w:rsid w:val="00A94B13"/>
    <w:rsid w:val="00A9628C"/>
    <w:rsid w:val="00A96C0B"/>
    <w:rsid w:val="00A96D1B"/>
    <w:rsid w:val="00A97519"/>
    <w:rsid w:val="00A979ED"/>
    <w:rsid w:val="00AA0A39"/>
    <w:rsid w:val="00AA0BC7"/>
    <w:rsid w:val="00AA1C5C"/>
    <w:rsid w:val="00AA203D"/>
    <w:rsid w:val="00AA279E"/>
    <w:rsid w:val="00AA2D93"/>
    <w:rsid w:val="00AA537E"/>
    <w:rsid w:val="00AA59A0"/>
    <w:rsid w:val="00AA6FD4"/>
    <w:rsid w:val="00AA7200"/>
    <w:rsid w:val="00AA778D"/>
    <w:rsid w:val="00AB0812"/>
    <w:rsid w:val="00AB2920"/>
    <w:rsid w:val="00AB385C"/>
    <w:rsid w:val="00AB6383"/>
    <w:rsid w:val="00AB79E2"/>
    <w:rsid w:val="00AC0A94"/>
    <w:rsid w:val="00AC1A4B"/>
    <w:rsid w:val="00AC3642"/>
    <w:rsid w:val="00AC3FAF"/>
    <w:rsid w:val="00AC61D6"/>
    <w:rsid w:val="00AD0126"/>
    <w:rsid w:val="00AD01C2"/>
    <w:rsid w:val="00AD07B4"/>
    <w:rsid w:val="00AD0FCB"/>
    <w:rsid w:val="00AD159C"/>
    <w:rsid w:val="00AD245D"/>
    <w:rsid w:val="00AD320D"/>
    <w:rsid w:val="00AD4DD2"/>
    <w:rsid w:val="00AD51EA"/>
    <w:rsid w:val="00AD65FB"/>
    <w:rsid w:val="00AE03F0"/>
    <w:rsid w:val="00AE1333"/>
    <w:rsid w:val="00AE2CB5"/>
    <w:rsid w:val="00AE5C22"/>
    <w:rsid w:val="00AE6FA7"/>
    <w:rsid w:val="00AE7035"/>
    <w:rsid w:val="00AE7757"/>
    <w:rsid w:val="00AE7AFD"/>
    <w:rsid w:val="00AF060E"/>
    <w:rsid w:val="00AF2D42"/>
    <w:rsid w:val="00AF4402"/>
    <w:rsid w:val="00AF52C7"/>
    <w:rsid w:val="00AF569A"/>
    <w:rsid w:val="00AF572D"/>
    <w:rsid w:val="00AF5EEF"/>
    <w:rsid w:val="00AF71FC"/>
    <w:rsid w:val="00AF730F"/>
    <w:rsid w:val="00AF79CB"/>
    <w:rsid w:val="00AF7F1E"/>
    <w:rsid w:val="00B012CD"/>
    <w:rsid w:val="00B01639"/>
    <w:rsid w:val="00B02692"/>
    <w:rsid w:val="00B026CE"/>
    <w:rsid w:val="00B03B71"/>
    <w:rsid w:val="00B03C9D"/>
    <w:rsid w:val="00B0673E"/>
    <w:rsid w:val="00B06E62"/>
    <w:rsid w:val="00B07D81"/>
    <w:rsid w:val="00B11870"/>
    <w:rsid w:val="00B1306E"/>
    <w:rsid w:val="00B1444D"/>
    <w:rsid w:val="00B15C71"/>
    <w:rsid w:val="00B166B5"/>
    <w:rsid w:val="00B174D2"/>
    <w:rsid w:val="00B176C4"/>
    <w:rsid w:val="00B216CF"/>
    <w:rsid w:val="00B21946"/>
    <w:rsid w:val="00B246B4"/>
    <w:rsid w:val="00B25E20"/>
    <w:rsid w:val="00B262C8"/>
    <w:rsid w:val="00B26DB6"/>
    <w:rsid w:val="00B27936"/>
    <w:rsid w:val="00B3015E"/>
    <w:rsid w:val="00B30D09"/>
    <w:rsid w:val="00B34382"/>
    <w:rsid w:val="00B34BB3"/>
    <w:rsid w:val="00B34C51"/>
    <w:rsid w:val="00B3525C"/>
    <w:rsid w:val="00B36020"/>
    <w:rsid w:val="00B36825"/>
    <w:rsid w:val="00B3735E"/>
    <w:rsid w:val="00B408D0"/>
    <w:rsid w:val="00B412B6"/>
    <w:rsid w:val="00B41404"/>
    <w:rsid w:val="00B41EA1"/>
    <w:rsid w:val="00B42866"/>
    <w:rsid w:val="00B42A80"/>
    <w:rsid w:val="00B42A83"/>
    <w:rsid w:val="00B450F8"/>
    <w:rsid w:val="00B452A3"/>
    <w:rsid w:val="00B4537B"/>
    <w:rsid w:val="00B505F9"/>
    <w:rsid w:val="00B50E2D"/>
    <w:rsid w:val="00B510BF"/>
    <w:rsid w:val="00B5153D"/>
    <w:rsid w:val="00B523ED"/>
    <w:rsid w:val="00B5244A"/>
    <w:rsid w:val="00B531AB"/>
    <w:rsid w:val="00B53B2C"/>
    <w:rsid w:val="00B53C34"/>
    <w:rsid w:val="00B55926"/>
    <w:rsid w:val="00B56930"/>
    <w:rsid w:val="00B57E5B"/>
    <w:rsid w:val="00B60E99"/>
    <w:rsid w:val="00B6163A"/>
    <w:rsid w:val="00B651E4"/>
    <w:rsid w:val="00B65304"/>
    <w:rsid w:val="00B65791"/>
    <w:rsid w:val="00B66A36"/>
    <w:rsid w:val="00B72116"/>
    <w:rsid w:val="00B72438"/>
    <w:rsid w:val="00B72BAB"/>
    <w:rsid w:val="00B73EBD"/>
    <w:rsid w:val="00B74559"/>
    <w:rsid w:val="00B76557"/>
    <w:rsid w:val="00B80177"/>
    <w:rsid w:val="00B81140"/>
    <w:rsid w:val="00B85489"/>
    <w:rsid w:val="00B87179"/>
    <w:rsid w:val="00B9048A"/>
    <w:rsid w:val="00B906E1"/>
    <w:rsid w:val="00B91AB5"/>
    <w:rsid w:val="00B936F8"/>
    <w:rsid w:val="00B93B50"/>
    <w:rsid w:val="00B951FF"/>
    <w:rsid w:val="00B9722A"/>
    <w:rsid w:val="00B97479"/>
    <w:rsid w:val="00BA000A"/>
    <w:rsid w:val="00BA0F40"/>
    <w:rsid w:val="00BA118B"/>
    <w:rsid w:val="00BA2AD8"/>
    <w:rsid w:val="00BA328B"/>
    <w:rsid w:val="00BA3D5F"/>
    <w:rsid w:val="00BA47F0"/>
    <w:rsid w:val="00BA4E0F"/>
    <w:rsid w:val="00BA56BD"/>
    <w:rsid w:val="00BB0782"/>
    <w:rsid w:val="00BB0DE5"/>
    <w:rsid w:val="00BB1C7E"/>
    <w:rsid w:val="00BB2E04"/>
    <w:rsid w:val="00BB3000"/>
    <w:rsid w:val="00BB34E3"/>
    <w:rsid w:val="00BB5721"/>
    <w:rsid w:val="00BB69DB"/>
    <w:rsid w:val="00BB6F82"/>
    <w:rsid w:val="00BC019E"/>
    <w:rsid w:val="00BC06F9"/>
    <w:rsid w:val="00BC2BA2"/>
    <w:rsid w:val="00BC2ED4"/>
    <w:rsid w:val="00BC36B3"/>
    <w:rsid w:val="00BC6BCA"/>
    <w:rsid w:val="00BD05AD"/>
    <w:rsid w:val="00BD0693"/>
    <w:rsid w:val="00BD08E5"/>
    <w:rsid w:val="00BD098B"/>
    <w:rsid w:val="00BD0CA8"/>
    <w:rsid w:val="00BD0CCE"/>
    <w:rsid w:val="00BD0F2D"/>
    <w:rsid w:val="00BD1014"/>
    <w:rsid w:val="00BD396E"/>
    <w:rsid w:val="00BD416E"/>
    <w:rsid w:val="00BD4914"/>
    <w:rsid w:val="00BD4BB8"/>
    <w:rsid w:val="00BD55B7"/>
    <w:rsid w:val="00BD5A0D"/>
    <w:rsid w:val="00BD659A"/>
    <w:rsid w:val="00BD7AF5"/>
    <w:rsid w:val="00BD7F12"/>
    <w:rsid w:val="00BE0572"/>
    <w:rsid w:val="00BE0F0E"/>
    <w:rsid w:val="00BE20C3"/>
    <w:rsid w:val="00BE2331"/>
    <w:rsid w:val="00BE470D"/>
    <w:rsid w:val="00BE4A53"/>
    <w:rsid w:val="00BE6403"/>
    <w:rsid w:val="00BE7875"/>
    <w:rsid w:val="00BF0642"/>
    <w:rsid w:val="00BF1223"/>
    <w:rsid w:val="00BF21B1"/>
    <w:rsid w:val="00BF29AC"/>
    <w:rsid w:val="00BF3495"/>
    <w:rsid w:val="00BF4912"/>
    <w:rsid w:val="00BF4B8F"/>
    <w:rsid w:val="00BF76D7"/>
    <w:rsid w:val="00C000FD"/>
    <w:rsid w:val="00C001A4"/>
    <w:rsid w:val="00C005BC"/>
    <w:rsid w:val="00C01DF1"/>
    <w:rsid w:val="00C02C4C"/>
    <w:rsid w:val="00C04D83"/>
    <w:rsid w:val="00C05D86"/>
    <w:rsid w:val="00C1070D"/>
    <w:rsid w:val="00C10B3B"/>
    <w:rsid w:val="00C11ECE"/>
    <w:rsid w:val="00C12810"/>
    <w:rsid w:val="00C129DE"/>
    <w:rsid w:val="00C150BB"/>
    <w:rsid w:val="00C16B79"/>
    <w:rsid w:val="00C2099E"/>
    <w:rsid w:val="00C224C0"/>
    <w:rsid w:val="00C22816"/>
    <w:rsid w:val="00C23CF0"/>
    <w:rsid w:val="00C249F4"/>
    <w:rsid w:val="00C25940"/>
    <w:rsid w:val="00C262EB"/>
    <w:rsid w:val="00C3020C"/>
    <w:rsid w:val="00C31272"/>
    <w:rsid w:val="00C31BB5"/>
    <w:rsid w:val="00C34562"/>
    <w:rsid w:val="00C35B70"/>
    <w:rsid w:val="00C36922"/>
    <w:rsid w:val="00C369F9"/>
    <w:rsid w:val="00C410A7"/>
    <w:rsid w:val="00C42E50"/>
    <w:rsid w:val="00C4342F"/>
    <w:rsid w:val="00C4349F"/>
    <w:rsid w:val="00C47AA5"/>
    <w:rsid w:val="00C51826"/>
    <w:rsid w:val="00C525CD"/>
    <w:rsid w:val="00C52A04"/>
    <w:rsid w:val="00C52F58"/>
    <w:rsid w:val="00C5468F"/>
    <w:rsid w:val="00C546C1"/>
    <w:rsid w:val="00C54CA5"/>
    <w:rsid w:val="00C551BE"/>
    <w:rsid w:val="00C55F9D"/>
    <w:rsid w:val="00C56995"/>
    <w:rsid w:val="00C579D5"/>
    <w:rsid w:val="00C57FF1"/>
    <w:rsid w:val="00C60145"/>
    <w:rsid w:val="00C60836"/>
    <w:rsid w:val="00C60B49"/>
    <w:rsid w:val="00C61564"/>
    <w:rsid w:val="00C6168E"/>
    <w:rsid w:val="00C62223"/>
    <w:rsid w:val="00C63544"/>
    <w:rsid w:val="00C63FE3"/>
    <w:rsid w:val="00C65412"/>
    <w:rsid w:val="00C6709C"/>
    <w:rsid w:val="00C715BD"/>
    <w:rsid w:val="00C7228F"/>
    <w:rsid w:val="00C74A9F"/>
    <w:rsid w:val="00C74FB5"/>
    <w:rsid w:val="00C753F3"/>
    <w:rsid w:val="00C76128"/>
    <w:rsid w:val="00C8100E"/>
    <w:rsid w:val="00C821B8"/>
    <w:rsid w:val="00C8238A"/>
    <w:rsid w:val="00C82776"/>
    <w:rsid w:val="00C8303E"/>
    <w:rsid w:val="00C83C7F"/>
    <w:rsid w:val="00C84211"/>
    <w:rsid w:val="00C84894"/>
    <w:rsid w:val="00C8490B"/>
    <w:rsid w:val="00C84EC9"/>
    <w:rsid w:val="00C85731"/>
    <w:rsid w:val="00C8685C"/>
    <w:rsid w:val="00C877C0"/>
    <w:rsid w:val="00C87826"/>
    <w:rsid w:val="00C900B9"/>
    <w:rsid w:val="00C9066A"/>
    <w:rsid w:val="00C90AE0"/>
    <w:rsid w:val="00C926AE"/>
    <w:rsid w:val="00C9400D"/>
    <w:rsid w:val="00C9595A"/>
    <w:rsid w:val="00CA0FE5"/>
    <w:rsid w:val="00CA1524"/>
    <w:rsid w:val="00CA1B3B"/>
    <w:rsid w:val="00CA1C0E"/>
    <w:rsid w:val="00CA560E"/>
    <w:rsid w:val="00CA57AB"/>
    <w:rsid w:val="00CA5CC9"/>
    <w:rsid w:val="00CA6B42"/>
    <w:rsid w:val="00CA723F"/>
    <w:rsid w:val="00CB09CE"/>
    <w:rsid w:val="00CB0ADB"/>
    <w:rsid w:val="00CB1B1A"/>
    <w:rsid w:val="00CB2A6E"/>
    <w:rsid w:val="00CB3D1B"/>
    <w:rsid w:val="00CB6C17"/>
    <w:rsid w:val="00CB71D1"/>
    <w:rsid w:val="00CB7304"/>
    <w:rsid w:val="00CB78C4"/>
    <w:rsid w:val="00CC015C"/>
    <w:rsid w:val="00CC0897"/>
    <w:rsid w:val="00CC0F71"/>
    <w:rsid w:val="00CC1CB4"/>
    <w:rsid w:val="00CC3478"/>
    <w:rsid w:val="00CC6E40"/>
    <w:rsid w:val="00CC7D0A"/>
    <w:rsid w:val="00CD02AB"/>
    <w:rsid w:val="00CD0A71"/>
    <w:rsid w:val="00CD0AD6"/>
    <w:rsid w:val="00CD13F8"/>
    <w:rsid w:val="00CD2013"/>
    <w:rsid w:val="00CD28D5"/>
    <w:rsid w:val="00CD2EA0"/>
    <w:rsid w:val="00CD330F"/>
    <w:rsid w:val="00CD4086"/>
    <w:rsid w:val="00CD4123"/>
    <w:rsid w:val="00CD6788"/>
    <w:rsid w:val="00CD681E"/>
    <w:rsid w:val="00CD7F76"/>
    <w:rsid w:val="00CE11F6"/>
    <w:rsid w:val="00CE2716"/>
    <w:rsid w:val="00CE2DFA"/>
    <w:rsid w:val="00CE2F2A"/>
    <w:rsid w:val="00CE433D"/>
    <w:rsid w:val="00CE461E"/>
    <w:rsid w:val="00CE4FE0"/>
    <w:rsid w:val="00CE699E"/>
    <w:rsid w:val="00CE7B3A"/>
    <w:rsid w:val="00CE7BEC"/>
    <w:rsid w:val="00CF00D7"/>
    <w:rsid w:val="00CF01F6"/>
    <w:rsid w:val="00CF0E8A"/>
    <w:rsid w:val="00CF2C6A"/>
    <w:rsid w:val="00CF5B2A"/>
    <w:rsid w:val="00CF5CDF"/>
    <w:rsid w:val="00CF6DC4"/>
    <w:rsid w:val="00CF76B3"/>
    <w:rsid w:val="00CF77BF"/>
    <w:rsid w:val="00CF7D07"/>
    <w:rsid w:val="00D00BE7"/>
    <w:rsid w:val="00D00E94"/>
    <w:rsid w:val="00D03109"/>
    <w:rsid w:val="00D03A53"/>
    <w:rsid w:val="00D04219"/>
    <w:rsid w:val="00D042B9"/>
    <w:rsid w:val="00D075C8"/>
    <w:rsid w:val="00D07BCA"/>
    <w:rsid w:val="00D100AF"/>
    <w:rsid w:val="00D100F6"/>
    <w:rsid w:val="00D10D33"/>
    <w:rsid w:val="00D11A4B"/>
    <w:rsid w:val="00D125BB"/>
    <w:rsid w:val="00D1372D"/>
    <w:rsid w:val="00D14823"/>
    <w:rsid w:val="00D17BFC"/>
    <w:rsid w:val="00D212B2"/>
    <w:rsid w:val="00D21F05"/>
    <w:rsid w:val="00D24521"/>
    <w:rsid w:val="00D250E4"/>
    <w:rsid w:val="00D268B6"/>
    <w:rsid w:val="00D270E9"/>
    <w:rsid w:val="00D2719B"/>
    <w:rsid w:val="00D27C6F"/>
    <w:rsid w:val="00D30B66"/>
    <w:rsid w:val="00D31842"/>
    <w:rsid w:val="00D31C14"/>
    <w:rsid w:val="00D35098"/>
    <w:rsid w:val="00D36F00"/>
    <w:rsid w:val="00D40A25"/>
    <w:rsid w:val="00D42F42"/>
    <w:rsid w:val="00D43767"/>
    <w:rsid w:val="00D4461C"/>
    <w:rsid w:val="00D478F6"/>
    <w:rsid w:val="00D501A1"/>
    <w:rsid w:val="00D52251"/>
    <w:rsid w:val="00D52F0C"/>
    <w:rsid w:val="00D53A10"/>
    <w:rsid w:val="00D54F5A"/>
    <w:rsid w:val="00D55CD6"/>
    <w:rsid w:val="00D57378"/>
    <w:rsid w:val="00D60512"/>
    <w:rsid w:val="00D60B36"/>
    <w:rsid w:val="00D616FB"/>
    <w:rsid w:val="00D61D54"/>
    <w:rsid w:val="00D63CCB"/>
    <w:rsid w:val="00D648CA"/>
    <w:rsid w:val="00D65446"/>
    <w:rsid w:val="00D65E59"/>
    <w:rsid w:val="00D67480"/>
    <w:rsid w:val="00D7055A"/>
    <w:rsid w:val="00D70A75"/>
    <w:rsid w:val="00D71718"/>
    <w:rsid w:val="00D72A31"/>
    <w:rsid w:val="00D732C3"/>
    <w:rsid w:val="00D73D1F"/>
    <w:rsid w:val="00D7465B"/>
    <w:rsid w:val="00D75430"/>
    <w:rsid w:val="00D80E08"/>
    <w:rsid w:val="00D81420"/>
    <w:rsid w:val="00D8203D"/>
    <w:rsid w:val="00D82B67"/>
    <w:rsid w:val="00D85741"/>
    <w:rsid w:val="00D903E2"/>
    <w:rsid w:val="00D9055C"/>
    <w:rsid w:val="00D90A45"/>
    <w:rsid w:val="00D90C50"/>
    <w:rsid w:val="00D92F9F"/>
    <w:rsid w:val="00D93192"/>
    <w:rsid w:val="00D93260"/>
    <w:rsid w:val="00D934F0"/>
    <w:rsid w:val="00D94754"/>
    <w:rsid w:val="00D94C5D"/>
    <w:rsid w:val="00D95E2C"/>
    <w:rsid w:val="00D977D7"/>
    <w:rsid w:val="00D977EB"/>
    <w:rsid w:val="00DA0CE7"/>
    <w:rsid w:val="00DA3DF4"/>
    <w:rsid w:val="00DA48DA"/>
    <w:rsid w:val="00DA67C1"/>
    <w:rsid w:val="00DA6976"/>
    <w:rsid w:val="00DA7ECA"/>
    <w:rsid w:val="00DB0169"/>
    <w:rsid w:val="00DB02E7"/>
    <w:rsid w:val="00DB0AC3"/>
    <w:rsid w:val="00DB0B56"/>
    <w:rsid w:val="00DB19FF"/>
    <w:rsid w:val="00DB1F3F"/>
    <w:rsid w:val="00DB2014"/>
    <w:rsid w:val="00DB2168"/>
    <w:rsid w:val="00DB2200"/>
    <w:rsid w:val="00DB31BA"/>
    <w:rsid w:val="00DB41EA"/>
    <w:rsid w:val="00DB456B"/>
    <w:rsid w:val="00DB67FA"/>
    <w:rsid w:val="00DB6D2A"/>
    <w:rsid w:val="00DB6E4E"/>
    <w:rsid w:val="00DB715E"/>
    <w:rsid w:val="00DB71DB"/>
    <w:rsid w:val="00DC2152"/>
    <w:rsid w:val="00DC5B7B"/>
    <w:rsid w:val="00DC6060"/>
    <w:rsid w:val="00DC611C"/>
    <w:rsid w:val="00DC663A"/>
    <w:rsid w:val="00DC7D32"/>
    <w:rsid w:val="00DC7E22"/>
    <w:rsid w:val="00DD0632"/>
    <w:rsid w:val="00DD2A09"/>
    <w:rsid w:val="00DD31EE"/>
    <w:rsid w:val="00DD3713"/>
    <w:rsid w:val="00DD3B2B"/>
    <w:rsid w:val="00DD3CB9"/>
    <w:rsid w:val="00DD55D5"/>
    <w:rsid w:val="00DD590B"/>
    <w:rsid w:val="00DD5E00"/>
    <w:rsid w:val="00DD6D36"/>
    <w:rsid w:val="00DD6ECB"/>
    <w:rsid w:val="00DD7191"/>
    <w:rsid w:val="00DE03C7"/>
    <w:rsid w:val="00DE0B13"/>
    <w:rsid w:val="00DE12BA"/>
    <w:rsid w:val="00DE7345"/>
    <w:rsid w:val="00DF043F"/>
    <w:rsid w:val="00DF1222"/>
    <w:rsid w:val="00DF1BF5"/>
    <w:rsid w:val="00DF253B"/>
    <w:rsid w:val="00DF278B"/>
    <w:rsid w:val="00DF3D29"/>
    <w:rsid w:val="00DF6EFD"/>
    <w:rsid w:val="00DF742C"/>
    <w:rsid w:val="00DF7938"/>
    <w:rsid w:val="00E000E2"/>
    <w:rsid w:val="00E004DB"/>
    <w:rsid w:val="00E005C1"/>
    <w:rsid w:val="00E00683"/>
    <w:rsid w:val="00E01B3E"/>
    <w:rsid w:val="00E01C97"/>
    <w:rsid w:val="00E020B4"/>
    <w:rsid w:val="00E028C6"/>
    <w:rsid w:val="00E033EF"/>
    <w:rsid w:val="00E06A82"/>
    <w:rsid w:val="00E071AD"/>
    <w:rsid w:val="00E07299"/>
    <w:rsid w:val="00E10987"/>
    <w:rsid w:val="00E10E9F"/>
    <w:rsid w:val="00E12162"/>
    <w:rsid w:val="00E1237D"/>
    <w:rsid w:val="00E1244B"/>
    <w:rsid w:val="00E1246C"/>
    <w:rsid w:val="00E1486D"/>
    <w:rsid w:val="00E15335"/>
    <w:rsid w:val="00E15DDF"/>
    <w:rsid w:val="00E15FE2"/>
    <w:rsid w:val="00E16DA1"/>
    <w:rsid w:val="00E17A0A"/>
    <w:rsid w:val="00E20973"/>
    <w:rsid w:val="00E20EAD"/>
    <w:rsid w:val="00E2114F"/>
    <w:rsid w:val="00E231B5"/>
    <w:rsid w:val="00E26138"/>
    <w:rsid w:val="00E27BBE"/>
    <w:rsid w:val="00E27D5F"/>
    <w:rsid w:val="00E3091D"/>
    <w:rsid w:val="00E31952"/>
    <w:rsid w:val="00E321D9"/>
    <w:rsid w:val="00E3225B"/>
    <w:rsid w:val="00E32F77"/>
    <w:rsid w:val="00E33F31"/>
    <w:rsid w:val="00E3759E"/>
    <w:rsid w:val="00E37B03"/>
    <w:rsid w:val="00E41838"/>
    <w:rsid w:val="00E42418"/>
    <w:rsid w:val="00E429CC"/>
    <w:rsid w:val="00E44A2E"/>
    <w:rsid w:val="00E456B9"/>
    <w:rsid w:val="00E46BCE"/>
    <w:rsid w:val="00E473DD"/>
    <w:rsid w:val="00E51892"/>
    <w:rsid w:val="00E51C99"/>
    <w:rsid w:val="00E525D2"/>
    <w:rsid w:val="00E5267F"/>
    <w:rsid w:val="00E52E82"/>
    <w:rsid w:val="00E53F18"/>
    <w:rsid w:val="00E541DB"/>
    <w:rsid w:val="00E54F18"/>
    <w:rsid w:val="00E60E89"/>
    <w:rsid w:val="00E60F73"/>
    <w:rsid w:val="00E61936"/>
    <w:rsid w:val="00E62A07"/>
    <w:rsid w:val="00E62BA0"/>
    <w:rsid w:val="00E632E1"/>
    <w:rsid w:val="00E64002"/>
    <w:rsid w:val="00E65069"/>
    <w:rsid w:val="00E6615D"/>
    <w:rsid w:val="00E661DA"/>
    <w:rsid w:val="00E666A2"/>
    <w:rsid w:val="00E676F8"/>
    <w:rsid w:val="00E6795C"/>
    <w:rsid w:val="00E70CBD"/>
    <w:rsid w:val="00E70FF3"/>
    <w:rsid w:val="00E723B5"/>
    <w:rsid w:val="00E72D9D"/>
    <w:rsid w:val="00E73A92"/>
    <w:rsid w:val="00E74D44"/>
    <w:rsid w:val="00E7599C"/>
    <w:rsid w:val="00E760AA"/>
    <w:rsid w:val="00E775D3"/>
    <w:rsid w:val="00E806D4"/>
    <w:rsid w:val="00E8203E"/>
    <w:rsid w:val="00E827E8"/>
    <w:rsid w:val="00E8287D"/>
    <w:rsid w:val="00E832F5"/>
    <w:rsid w:val="00E84B9D"/>
    <w:rsid w:val="00E85FC6"/>
    <w:rsid w:val="00E86D1B"/>
    <w:rsid w:val="00E870B2"/>
    <w:rsid w:val="00E87DB5"/>
    <w:rsid w:val="00E963FB"/>
    <w:rsid w:val="00E975A8"/>
    <w:rsid w:val="00EA0275"/>
    <w:rsid w:val="00EA1438"/>
    <w:rsid w:val="00EA1D46"/>
    <w:rsid w:val="00EA29A3"/>
    <w:rsid w:val="00EA4A4C"/>
    <w:rsid w:val="00EA4DE6"/>
    <w:rsid w:val="00EA543D"/>
    <w:rsid w:val="00EA71B1"/>
    <w:rsid w:val="00EB025B"/>
    <w:rsid w:val="00EB198B"/>
    <w:rsid w:val="00EB2240"/>
    <w:rsid w:val="00EB2473"/>
    <w:rsid w:val="00EB38EF"/>
    <w:rsid w:val="00EB44C1"/>
    <w:rsid w:val="00EB49C9"/>
    <w:rsid w:val="00EB60A4"/>
    <w:rsid w:val="00EB6ADA"/>
    <w:rsid w:val="00EB7E8D"/>
    <w:rsid w:val="00EC15BB"/>
    <w:rsid w:val="00EC161A"/>
    <w:rsid w:val="00EC2777"/>
    <w:rsid w:val="00EC43E7"/>
    <w:rsid w:val="00EC440A"/>
    <w:rsid w:val="00EC4A3F"/>
    <w:rsid w:val="00EC4E93"/>
    <w:rsid w:val="00EC6E0D"/>
    <w:rsid w:val="00ED006E"/>
    <w:rsid w:val="00ED0551"/>
    <w:rsid w:val="00ED0802"/>
    <w:rsid w:val="00ED2169"/>
    <w:rsid w:val="00ED298A"/>
    <w:rsid w:val="00ED4506"/>
    <w:rsid w:val="00ED4C8F"/>
    <w:rsid w:val="00ED5D29"/>
    <w:rsid w:val="00ED6EE3"/>
    <w:rsid w:val="00ED6F01"/>
    <w:rsid w:val="00EE0279"/>
    <w:rsid w:val="00EE0C75"/>
    <w:rsid w:val="00EE1A57"/>
    <w:rsid w:val="00EE1F28"/>
    <w:rsid w:val="00EE46DE"/>
    <w:rsid w:val="00EE7541"/>
    <w:rsid w:val="00EE79AE"/>
    <w:rsid w:val="00EF04BD"/>
    <w:rsid w:val="00EF067B"/>
    <w:rsid w:val="00EF0CD0"/>
    <w:rsid w:val="00EF0F76"/>
    <w:rsid w:val="00EF284D"/>
    <w:rsid w:val="00EF2A2C"/>
    <w:rsid w:val="00EF30E5"/>
    <w:rsid w:val="00EF4272"/>
    <w:rsid w:val="00EF45F3"/>
    <w:rsid w:val="00EF4CA0"/>
    <w:rsid w:val="00EF5746"/>
    <w:rsid w:val="00EF587D"/>
    <w:rsid w:val="00EF704A"/>
    <w:rsid w:val="00EF7A51"/>
    <w:rsid w:val="00EF7E66"/>
    <w:rsid w:val="00F0098C"/>
    <w:rsid w:val="00F03628"/>
    <w:rsid w:val="00F06D25"/>
    <w:rsid w:val="00F11DF6"/>
    <w:rsid w:val="00F11E9E"/>
    <w:rsid w:val="00F1504E"/>
    <w:rsid w:val="00F1512E"/>
    <w:rsid w:val="00F1710B"/>
    <w:rsid w:val="00F206EA"/>
    <w:rsid w:val="00F232DE"/>
    <w:rsid w:val="00F24977"/>
    <w:rsid w:val="00F24B2C"/>
    <w:rsid w:val="00F26279"/>
    <w:rsid w:val="00F2705F"/>
    <w:rsid w:val="00F27C6C"/>
    <w:rsid w:val="00F33BDF"/>
    <w:rsid w:val="00F3755A"/>
    <w:rsid w:val="00F37A62"/>
    <w:rsid w:val="00F407DA"/>
    <w:rsid w:val="00F4129B"/>
    <w:rsid w:val="00F42A68"/>
    <w:rsid w:val="00F43AF9"/>
    <w:rsid w:val="00F43F47"/>
    <w:rsid w:val="00F45473"/>
    <w:rsid w:val="00F45A78"/>
    <w:rsid w:val="00F468B8"/>
    <w:rsid w:val="00F470C3"/>
    <w:rsid w:val="00F50033"/>
    <w:rsid w:val="00F5090C"/>
    <w:rsid w:val="00F51A9F"/>
    <w:rsid w:val="00F52D4D"/>
    <w:rsid w:val="00F52E60"/>
    <w:rsid w:val="00F537FA"/>
    <w:rsid w:val="00F548F0"/>
    <w:rsid w:val="00F56CFB"/>
    <w:rsid w:val="00F618F1"/>
    <w:rsid w:val="00F62A1B"/>
    <w:rsid w:val="00F630FE"/>
    <w:rsid w:val="00F650D3"/>
    <w:rsid w:val="00F6643C"/>
    <w:rsid w:val="00F6722F"/>
    <w:rsid w:val="00F67880"/>
    <w:rsid w:val="00F7024F"/>
    <w:rsid w:val="00F72189"/>
    <w:rsid w:val="00F73219"/>
    <w:rsid w:val="00F73667"/>
    <w:rsid w:val="00F73D39"/>
    <w:rsid w:val="00F7454F"/>
    <w:rsid w:val="00F7637B"/>
    <w:rsid w:val="00F76BCF"/>
    <w:rsid w:val="00F77CF6"/>
    <w:rsid w:val="00F8335E"/>
    <w:rsid w:val="00F86559"/>
    <w:rsid w:val="00F86E77"/>
    <w:rsid w:val="00F87C10"/>
    <w:rsid w:val="00F91001"/>
    <w:rsid w:val="00F91E8F"/>
    <w:rsid w:val="00F92280"/>
    <w:rsid w:val="00F941F9"/>
    <w:rsid w:val="00F943CE"/>
    <w:rsid w:val="00F9478D"/>
    <w:rsid w:val="00F94D94"/>
    <w:rsid w:val="00F962D5"/>
    <w:rsid w:val="00F9740E"/>
    <w:rsid w:val="00FA062B"/>
    <w:rsid w:val="00FA0D5C"/>
    <w:rsid w:val="00FA1077"/>
    <w:rsid w:val="00FA1098"/>
    <w:rsid w:val="00FA18CF"/>
    <w:rsid w:val="00FA21AA"/>
    <w:rsid w:val="00FA3677"/>
    <w:rsid w:val="00FA47DC"/>
    <w:rsid w:val="00FA5616"/>
    <w:rsid w:val="00FA6179"/>
    <w:rsid w:val="00FA63A2"/>
    <w:rsid w:val="00FA66DE"/>
    <w:rsid w:val="00FA6C94"/>
    <w:rsid w:val="00FA7CB6"/>
    <w:rsid w:val="00FB071A"/>
    <w:rsid w:val="00FB1A16"/>
    <w:rsid w:val="00FB1A1C"/>
    <w:rsid w:val="00FB2692"/>
    <w:rsid w:val="00FB45DC"/>
    <w:rsid w:val="00FB5E99"/>
    <w:rsid w:val="00FB5FAE"/>
    <w:rsid w:val="00FB6753"/>
    <w:rsid w:val="00FB676B"/>
    <w:rsid w:val="00FB743A"/>
    <w:rsid w:val="00FB75B2"/>
    <w:rsid w:val="00FB7FC4"/>
    <w:rsid w:val="00FC0303"/>
    <w:rsid w:val="00FC1267"/>
    <w:rsid w:val="00FC28C3"/>
    <w:rsid w:val="00FC430A"/>
    <w:rsid w:val="00FC5120"/>
    <w:rsid w:val="00FC5961"/>
    <w:rsid w:val="00FC5F3D"/>
    <w:rsid w:val="00FC7066"/>
    <w:rsid w:val="00FD0D95"/>
    <w:rsid w:val="00FD22A2"/>
    <w:rsid w:val="00FD3526"/>
    <w:rsid w:val="00FD41A1"/>
    <w:rsid w:val="00FD5713"/>
    <w:rsid w:val="00FD6500"/>
    <w:rsid w:val="00FD6A2B"/>
    <w:rsid w:val="00FD6CF0"/>
    <w:rsid w:val="00FD7CF9"/>
    <w:rsid w:val="00FE0185"/>
    <w:rsid w:val="00FE0DFF"/>
    <w:rsid w:val="00FE39A9"/>
    <w:rsid w:val="00FE4991"/>
    <w:rsid w:val="00FE4B86"/>
    <w:rsid w:val="00FE552C"/>
    <w:rsid w:val="00FE6A77"/>
    <w:rsid w:val="00FF1660"/>
    <w:rsid w:val="00FF1D41"/>
    <w:rsid w:val="00FF25D1"/>
    <w:rsid w:val="00FF2CC0"/>
    <w:rsid w:val="00FF2F4B"/>
    <w:rsid w:val="00FF37B1"/>
    <w:rsid w:val="00FF3A18"/>
    <w:rsid w:val="00FF4E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296567"/>
  <w15:docId w15:val="{97C8A689-D8EC-4D84-92E3-E33546773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7BBE"/>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iPriority w:val="99"/>
    <w:unhideWhenUsed/>
    <w:rsid w:val="00CE7B3A"/>
    <w:rPr>
      <w:sz w:val="16"/>
      <w:szCs w:val="16"/>
    </w:rPr>
  </w:style>
  <w:style w:type="paragraph" w:styleId="CommentText">
    <w:name w:val="annotation text"/>
    <w:basedOn w:val="Normal"/>
    <w:link w:val="CommentTextChar"/>
    <w:uiPriority w:val="99"/>
    <w:unhideWhenUsed/>
    <w:rsid w:val="00CE7B3A"/>
    <w:rPr>
      <w:sz w:val="20"/>
      <w:szCs w:val="20"/>
    </w:rPr>
  </w:style>
  <w:style w:type="character" w:customStyle="1" w:styleId="CommentTextChar">
    <w:name w:val="Comment Text Char"/>
    <w:basedOn w:val="DefaultParagraphFont"/>
    <w:link w:val="CommentText"/>
    <w:uiPriority w:val="99"/>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List Paragraph compact,Paragraphe de liste 2,Reference list,Bullet list,Numbered List,Lettre d'introduction,L"/>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List Paragraph compact Char,Paragraphe de liste 2 Char,L Char"/>
    <w:link w:val="ListParagraph"/>
    <w:uiPriority w:val="34"/>
    <w:qFormat/>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unhideWhenUsed/>
    <w:rsid w:val="001B7961"/>
    <w:rPr>
      <w:color w:val="0000FF"/>
      <w:u w:val="single"/>
    </w:rPr>
  </w:style>
  <w:style w:type="character" w:customStyle="1" w:styleId="slgi">
    <w:name w:val="s_lgi"/>
    <w:basedOn w:val="DefaultParagraphFont"/>
    <w:rsid w:val="00EF067B"/>
  </w:style>
  <w:style w:type="paragraph" w:styleId="Revision">
    <w:name w:val="Revision"/>
    <w:hidden/>
    <w:uiPriority w:val="99"/>
    <w:semiHidden/>
    <w:rsid w:val="00E51892"/>
    <w:pPr>
      <w:spacing w:after="0" w:line="240" w:lineRule="auto"/>
    </w:pPr>
    <w:rPr>
      <w:rFonts w:ascii="Times New Roman" w:eastAsia="Times New Roman" w:hAnsi="Times New Roman" w:cs="Times New Roman"/>
      <w:sz w:val="24"/>
      <w:szCs w:val="24"/>
      <w:lang w:val="ro-RO"/>
    </w:rPr>
  </w:style>
  <w:style w:type="table" w:customStyle="1" w:styleId="TableGrid1">
    <w:name w:val="Table Grid1"/>
    <w:basedOn w:val="TableNormal"/>
    <w:next w:val="TableGrid"/>
    <w:uiPriority w:val="59"/>
    <w:rsid w:val="00357F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561EC"/>
    <w:rPr>
      <w:color w:val="605E5C"/>
      <w:shd w:val="clear" w:color="auto" w:fill="E1DFDD"/>
    </w:rPr>
  </w:style>
  <w:style w:type="paragraph" w:customStyle="1" w:styleId="Default">
    <w:name w:val="Default"/>
    <w:rsid w:val="00406B07"/>
    <w:pPr>
      <w:autoSpaceDE w:val="0"/>
      <w:autoSpaceDN w:val="0"/>
      <w:adjustRightInd w:val="0"/>
      <w:spacing w:after="0" w:line="240" w:lineRule="auto"/>
    </w:pPr>
    <w:rPr>
      <w:rFonts w:ascii="EUAlbertina" w:hAnsi="EUAlbertina" w:cs="EUAlbertina"/>
      <w:color w:val="000000"/>
      <w:sz w:val="24"/>
      <w:szCs w:val="24"/>
    </w:rPr>
  </w:style>
  <w:style w:type="paragraph" w:styleId="BodyTextIndent">
    <w:name w:val="Body Text Indent"/>
    <w:basedOn w:val="Normal"/>
    <w:link w:val="BodyTextIndentChar"/>
    <w:uiPriority w:val="99"/>
    <w:semiHidden/>
    <w:unhideWhenUsed/>
    <w:rsid w:val="00646C74"/>
    <w:pPr>
      <w:spacing w:after="120"/>
      <w:ind w:left="283"/>
    </w:pPr>
  </w:style>
  <w:style w:type="character" w:customStyle="1" w:styleId="BodyTextIndentChar">
    <w:name w:val="Body Text Indent Char"/>
    <w:basedOn w:val="DefaultParagraphFont"/>
    <w:link w:val="BodyTextIndent"/>
    <w:uiPriority w:val="99"/>
    <w:semiHidden/>
    <w:rsid w:val="00646C74"/>
    <w:rPr>
      <w:rFonts w:ascii="Times New Roman" w:eastAsia="Times New Roman" w:hAnsi="Times New Roman" w:cs="Times New Roman"/>
      <w:sz w:val="24"/>
      <w:szCs w:val="24"/>
      <w:lang w:val="ro-RO"/>
    </w:rPr>
  </w:style>
  <w:style w:type="paragraph" w:styleId="NormalWeb">
    <w:name w:val="Normal (Web)"/>
    <w:basedOn w:val="Normal"/>
    <w:uiPriority w:val="99"/>
    <w:unhideWhenUsed/>
    <w:rsid w:val="00E84B9D"/>
    <w:pPr>
      <w:spacing w:before="100" w:beforeAutospacing="1" w:after="100" w:afterAutospacing="1"/>
    </w:pPr>
    <w:rPr>
      <w:rFonts w:eastAsiaTheme="minorHAnsi"/>
      <w:sz w:val="20"/>
      <w:szCs w:val="20"/>
      <w:lang w:val="en-US"/>
    </w:rPr>
  </w:style>
  <w:style w:type="table" w:customStyle="1" w:styleId="TableGrid2">
    <w:name w:val="Table Grid2"/>
    <w:basedOn w:val="TableNormal"/>
    <w:next w:val="TableGrid"/>
    <w:uiPriority w:val="59"/>
    <w:rsid w:val="0090626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ar">
    <w:name w:val="s_par"/>
    <w:rsid w:val="00144293"/>
  </w:style>
  <w:style w:type="character" w:customStyle="1" w:styleId="salnbdy">
    <w:name w:val="s_aln_bdy"/>
    <w:basedOn w:val="DefaultParagraphFont"/>
    <w:rsid w:val="00355783"/>
  </w:style>
  <w:style w:type="character" w:customStyle="1" w:styleId="slitbdy">
    <w:name w:val="s_lit_bdy"/>
    <w:basedOn w:val="DefaultParagraphFont"/>
    <w:rsid w:val="00381510"/>
  </w:style>
  <w:style w:type="character" w:customStyle="1" w:styleId="markedcontent">
    <w:name w:val="markedcontent"/>
    <w:basedOn w:val="DefaultParagraphFont"/>
    <w:rsid w:val="00C84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38813">
      <w:bodyDiv w:val="1"/>
      <w:marLeft w:val="0"/>
      <w:marRight w:val="0"/>
      <w:marTop w:val="0"/>
      <w:marBottom w:val="0"/>
      <w:divBdr>
        <w:top w:val="none" w:sz="0" w:space="0" w:color="auto"/>
        <w:left w:val="none" w:sz="0" w:space="0" w:color="auto"/>
        <w:bottom w:val="none" w:sz="0" w:space="0" w:color="auto"/>
        <w:right w:val="none" w:sz="0" w:space="0" w:color="auto"/>
      </w:divBdr>
    </w:div>
    <w:div w:id="158423571">
      <w:bodyDiv w:val="1"/>
      <w:marLeft w:val="0"/>
      <w:marRight w:val="0"/>
      <w:marTop w:val="0"/>
      <w:marBottom w:val="0"/>
      <w:divBdr>
        <w:top w:val="none" w:sz="0" w:space="0" w:color="auto"/>
        <w:left w:val="none" w:sz="0" w:space="0" w:color="auto"/>
        <w:bottom w:val="none" w:sz="0" w:space="0" w:color="auto"/>
        <w:right w:val="none" w:sz="0" w:space="0" w:color="auto"/>
      </w:divBdr>
    </w:div>
    <w:div w:id="163595865">
      <w:bodyDiv w:val="1"/>
      <w:marLeft w:val="0"/>
      <w:marRight w:val="0"/>
      <w:marTop w:val="0"/>
      <w:marBottom w:val="0"/>
      <w:divBdr>
        <w:top w:val="none" w:sz="0" w:space="0" w:color="auto"/>
        <w:left w:val="none" w:sz="0" w:space="0" w:color="auto"/>
        <w:bottom w:val="none" w:sz="0" w:space="0" w:color="auto"/>
        <w:right w:val="none" w:sz="0" w:space="0" w:color="auto"/>
      </w:divBdr>
    </w:div>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186409884">
      <w:bodyDiv w:val="1"/>
      <w:marLeft w:val="0"/>
      <w:marRight w:val="0"/>
      <w:marTop w:val="0"/>
      <w:marBottom w:val="0"/>
      <w:divBdr>
        <w:top w:val="none" w:sz="0" w:space="0" w:color="auto"/>
        <w:left w:val="none" w:sz="0" w:space="0" w:color="auto"/>
        <w:bottom w:val="none" w:sz="0" w:space="0" w:color="auto"/>
        <w:right w:val="none" w:sz="0" w:space="0" w:color="auto"/>
      </w:divBdr>
    </w:div>
    <w:div w:id="196359529">
      <w:bodyDiv w:val="1"/>
      <w:marLeft w:val="0"/>
      <w:marRight w:val="0"/>
      <w:marTop w:val="0"/>
      <w:marBottom w:val="0"/>
      <w:divBdr>
        <w:top w:val="none" w:sz="0" w:space="0" w:color="auto"/>
        <w:left w:val="none" w:sz="0" w:space="0" w:color="auto"/>
        <w:bottom w:val="none" w:sz="0" w:space="0" w:color="auto"/>
        <w:right w:val="none" w:sz="0" w:space="0" w:color="auto"/>
      </w:divBdr>
    </w:div>
    <w:div w:id="196622305">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317922476">
      <w:bodyDiv w:val="1"/>
      <w:marLeft w:val="0"/>
      <w:marRight w:val="0"/>
      <w:marTop w:val="0"/>
      <w:marBottom w:val="0"/>
      <w:divBdr>
        <w:top w:val="none" w:sz="0" w:space="0" w:color="auto"/>
        <w:left w:val="none" w:sz="0" w:space="0" w:color="auto"/>
        <w:bottom w:val="none" w:sz="0" w:space="0" w:color="auto"/>
        <w:right w:val="none" w:sz="0" w:space="0" w:color="auto"/>
      </w:divBdr>
    </w:div>
    <w:div w:id="341670646">
      <w:bodyDiv w:val="1"/>
      <w:marLeft w:val="0"/>
      <w:marRight w:val="0"/>
      <w:marTop w:val="0"/>
      <w:marBottom w:val="0"/>
      <w:divBdr>
        <w:top w:val="none" w:sz="0" w:space="0" w:color="auto"/>
        <w:left w:val="none" w:sz="0" w:space="0" w:color="auto"/>
        <w:bottom w:val="none" w:sz="0" w:space="0" w:color="auto"/>
        <w:right w:val="none" w:sz="0" w:space="0" w:color="auto"/>
      </w:divBdr>
    </w:div>
    <w:div w:id="373122914">
      <w:bodyDiv w:val="1"/>
      <w:marLeft w:val="0"/>
      <w:marRight w:val="0"/>
      <w:marTop w:val="0"/>
      <w:marBottom w:val="0"/>
      <w:divBdr>
        <w:top w:val="none" w:sz="0" w:space="0" w:color="auto"/>
        <w:left w:val="none" w:sz="0" w:space="0" w:color="auto"/>
        <w:bottom w:val="none" w:sz="0" w:space="0" w:color="auto"/>
        <w:right w:val="none" w:sz="0" w:space="0" w:color="auto"/>
      </w:divBdr>
    </w:div>
    <w:div w:id="382171674">
      <w:bodyDiv w:val="1"/>
      <w:marLeft w:val="0"/>
      <w:marRight w:val="0"/>
      <w:marTop w:val="0"/>
      <w:marBottom w:val="0"/>
      <w:divBdr>
        <w:top w:val="none" w:sz="0" w:space="0" w:color="auto"/>
        <w:left w:val="none" w:sz="0" w:space="0" w:color="auto"/>
        <w:bottom w:val="none" w:sz="0" w:space="0" w:color="auto"/>
        <w:right w:val="none" w:sz="0" w:space="0" w:color="auto"/>
      </w:divBdr>
    </w:div>
    <w:div w:id="398329692">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50788779">
      <w:bodyDiv w:val="1"/>
      <w:marLeft w:val="0"/>
      <w:marRight w:val="0"/>
      <w:marTop w:val="0"/>
      <w:marBottom w:val="0"/>
      <w:divBdr>
        <w:top w:val="none" w:sz="0" w:space="0" w:color="auto"/>
        <w:left w:val="none" w:sz="0" w:space="0" w:color="auto"/>
        <w:bottom w:val="none" w:sz="0" w:space="0" w:color="auto"/>
        <w:right w:val="none" w:sz="0" w:space="0" w:color="auto"/>
      </w:divBdr>
    </w:div>
    <w:div w:id="454641938">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554393374">
      <w:bodyDiv w:val="1"/>
      <w:marLeft w:val="0"/>
      <w:marRight w:val="0"/>
      <w:marTop w:val="0"/>
      <w:marBottom w:val="0"/>
      <w:divBdr>
        <w:top w:val="none" w:sz="0" w:space="0" w:color="auto"/>
        <w:left w:val="none" w:sz="0" w:space="0" w:color="auto"/>
        <w:bottom w:val="none" w:sz="0" w:space="0" w:color="auto"/>
        <w:right w:val="none" w:sz="0" w:space="0" w:color="auto"/>
      </w:divBdr>
    </w:div>
    <w:div w:id="560794800">
      <w:bodyDiv w:val="1"/>
      <w:marLeft w:val="0"/>
      <w:marRight w:val="0"/>
      <w:marTop w:val="0"/>
      <w:marBottom w:val="0"/>
      <w:divBdr>
        <w:top w:val="none" w:sz="0" w:space="0" w:color="auto"/>
        <w:left w:val="none" w:sz="0" w:space="0" w:color="auto"/>
        <w:bottom w:val="none" w:sz="0" w:space="0" w:color="auto"/>
        <w:right w:val="none" w:sz="0" w:space="0" w:color="auto"/>
      </w:divBdr>
    </w:div>
    <w:div w:id="648753987">
      <w:bodyDiv w:val="1"/>
      <w:marLeft w:val="0"/>
      <w:marRight w:val="0"/>
      <w:marTop w:val="0"/>
      <w:marBottom w:val="0"/>
      <w:divBdr>
        <w:top w:val="none" w:sz="0" w:space="0" w:color="auto"/>
        <w:left w:val="none" w:sz="0" w:space="0" w:color="auto"/>
        <w:bottom w:val="none" w:sz="0" w:space="0" w:color="auto"/>
        <w:right w:val="none" w:sz="0" w:space="0" w:color="auto"/>
      </w:divBdr>
    </w:div>
    <w:div w:id="655841619">
      <w:bodyDiv w:val="1"/>
      <w:marLeft w:val="0"/>
      <w:marRight w:val="0"/>
      <w:marTop w:val="0"/>
      <w:marBottom w:val="0"/>
      <w:divBdr>
        <w:top w:val="none" w:sz="0" w:space="0" w:color="auto"/>
        <w:left w:val="none" w:sz="0" w:space="0" w:color="auto"/>
        <w:bottom w:val="none" w:sz="0" w:space="0" w:color="auto"/>
        <w:right w:val="none" w:sz="0" w:space="0" w:color="auto"/>
      </w:divBdr>
    </w:div>
    <w:div w:id="724794826">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993026076">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069763157">
      <w:bodyDiv w:val="1"/>
      <w:marLeft w:val="0"/>
      <w:marRight w:val="0"/>
      <w:marTop w:val="0"/>
      <w:marBottom w:val="0"/>
      <w:divBdr>
        <w:top w:val="none" w:sz="0" w:space="0" w:color="auto"/>
        <w:left w:val="none" w:sz="0" w:space="0" w:color="auto"/>
        <w:bottom w:val="none" w:sz="0" w:space="0" w:color="auto"/>
        <w:right w:val="none" w:sz="0" w:space="0" w:color="auto"/>
      </w:divBdr>
    </w:div>
    <w:div w:id="1102190792">
      <w:bodyDiv w:val="1"/>
      <w:marLeft w:val="0"/>
      <w:marRight w:val="0"/>
      <w:marTop w:val="0"/>
      <w:marBottom w:val="0"/>
      <w:divBdr>
        <w:top w:val="none" w:sz="0" w:space="0" w:color="auto"/>
        <w:left w:val="none" w:sz="0" w:space="0" w:color="auto"/>
        <w:bottom w:val="none" w:sz="0" w:space="0" w:color="auto"/>
        <w:right w:val="none" w:sz="0" w:space="0" w:color="auto"/>
      </w:divBdr>
    </w:div>
    <w:div w:id="1114708165">
      <w:bodyDiv w:val="1"/>
      <w:marLeft w:val="0"/>
      <w:marRight w:val="0"/>
      <w:marTop w:val="0"/>
      <w:marBottom w:val="0"/>
      <w:divBdr>
        <w:top w:val="none" w:sz="0" w:space="0" w:color="auto"/>
        <w:left w:val="none" w:sz="0" w:space="0" w:color="auto"/>
        <w:bottom w:val="none" w:sz="0" w:space="0" w:color="auto"/>
        <w:right w:val="none" w:sz="0" w:space="0" w:color="auto"/>
      </w:divBdr>
    </w:div>
    <w:div w:id="1135099875">
      <w:bodyDiv w:val="1"/>
      <w:marLeft w:val="0"/>
      <w:marRight w:val="0"/>
      <w:marTop w:val="0"/>
      <w:marBottom w:val="0"/>
      <w:divBdr>
        <w:top w:val="none" w:sz="0" w:space="0" w:color="auto"/>
        <w:left w:val="none" w:sz="0" w:space="0" w:color="auto"/>
        <w:bottom w:val="none" w:sz="0" w:space="0" w:color="auto"/>
        <w:right w:val="none" w:sz="0" w:space="0" w:color="auto"/>
      </w:divBdr>
    </w:div>
    <w:div w:id="1137842082">
      <w:bodyDiv w:val="1"/>
      <w:marLeft w:val="0"/>
      <w:marRight w:val="0"/>
      <w:marTop w:val="0"/>
      <w:marBottom w:val="0"/>
      <w:divBdr>
        <w:top w:val="none" w:sz="0" w:space="0" w:color="auto"/>
        <w:left w:val="none" w:sz="0" w:space="0" w:color="auto"/>
        <w:bottom w:val="none" w:sz="0" w:space="0" w:color="auto"/>
        <w:right w:val="none" w:sz="0" w:space="0" w:color="auto"/>
      </w:divBdr>
    </w:div>
    <w:div w:id="1157763849">
      <w:bodyDiv w:val="1"/>
      <w:marLeft w:val="0"/>
      <w:marRight w:val="0"/>
      <w:marTop w:val="0"/>
      <w:marBottom w:val="0"/>
      <w:divBdr>
        <w:top w:val="none" w:sz="0" w:space="0" w:color="auto"/>
        <w:left w:val="none" w:sz="0" w:space="0" w:color="auto"/>
        <w:bottom w:val="none" w:sz="0" w:space="0" w:color="auto"/>
        <w:right w:val="none" w:sz="0" w:space="0" w:color="auto"/>
      </w:divBdr>
    </w:div>
    <w:div w:id="1159073383">
      <w:bodyDiv w:val="1"/>
      <w:marLeft w:val="0"/>
      <w:marRight w:val="0"/>
      <w:marTop w:val="0"/>
      <w:marBottom w:val="0"/>
      <w:divBdr>
        <w:top w:val="none" w:sz="0" w:space="0" w:color="auto"/>
        <w:left w:val="none" w:sz="0" w:space="0" w:color="auto"/>
        <w:bottom w:val="none" w:sz="0" w:space="0" w:color="auto"/>
        <w:right w:val="none" w:sz="0" w:space="0" w:color="auto"/>
      </w:divBdr>
    </w:div>
    <w:div w:id="1302812629">
      <w:bodyDiv w:val="1"/>
      <w:marLeft w:val="0"/>
      <w:marRight w:val="0"/>
      <w:marTop w:val="0"/>
      <w:marBottom w:val="0"/>
      <w:divBdr>
        <w:top w:val="none" w:sz="0" w:space="0" w:color="auto"/>
        <w:left w:val="none" w:sz="0" w:space="0" w:color="auto"/>
        <w:bottom w:val="none" w:sz="0" w:space="0" w:color="auto"/>
        <w:right w:val="none" w:sz="0" w:space="0" w:color="auto"/>
      </w:divBdr>
    </w:div>
    <w:div w:id="1327518847">
      <w:bodyDiv w:val="1"/>
      <w:marLeft w:val="0"/>
      <w:marRight w:val="0"/>
      <w:marTop w:val="0"/>
      <w:marBottom w:val="0"/>
      <w:divBdr>
        <w:top w:val="none" w:sz="0" w:space="0" w:color="auto"/>
        <w:left w:val="none" w:sz="0" w:space="0" w:color="auto"/>
        <w:bottom w:val="none" w:sz="0" w:space="0" w:color="auto"/>
        <w:right w:val="none" w:sz="0" w:space="0" w:color="auto"/>
      </w:divBdr>
    </w:div>
    <w:div w:id="1389496447">
      <w:bodyDiv w:val="1"/>
      <w:marLeft w:val="0"/>
      <w:marRight w:val="0"/>
      <w:marTop w:val="0"/>
      <w:marBottom w:val="0"/>
      <w:divBdr>
        <w:top w:val="none" w:sz="0" w:space="0" w:color="auto"/>
        <w:left w:val="none" w:sz="0" w:space="0" w:color="auto"/>
        <w:bottom w:val="none" w:sz="0" w:space="0" w:color="auto"/>
        <w:right w:val="none" w:sz="0" w:space="0" w:color="auto"/>
      </w:divBdr>
    </w:div>
    <w:div w:id="1413354410">
      <w:bodyDiv w:val="1"/>
      <w:marLeft w:val="0"/>
      <w:marRight w:val="0"/>
      <w:marTop w:val="0"/>
      <w:marBottom w:val="0"/>
      <w:divBdr>
        <w:top w:val="none" w:sz="0" w:space="0" w:color="auto"/>
        <w:left w:val="none" w:sz="0" w:space="0" w:color="auto"/>
        <w:bottom w:val="none" w:sz="0" w:space="0" w:color="auto"/>
        <w:right w:val="none" w:sz="0" w:space="0" w:color="auto"/>
      </w:divBdr>
    </w:div>
    <w:div w:id="1442217109">
      <w:bodyDiv w:val="1"/>
      <w:marLeft w:val="0"/>
      <w:marRight w:val="0"/>
      <w:marTop w:val="0"/>
      <w:marBottom w:val="0"/>
      <w:divBdr>
        <w:top w:val="none" w:sz="0" w:space="0" w:color="auto"/>
        <w:left w:val="none" w:sz="0" w:space="0" w:color="auto"/>
        <w:bottom w:val="none" w:sz="0" w:space="0" w:color="auto"/>
        <w:right w:val="none" w:sz="0" w:space="0" w:color="auto"/>
      </w:divBdr>
    </w:div>
    <w:div w:id="1459377456">
      <w:bodyDiv w:val="1"/>
      <w:marLeft w:val="0"/>
      <w:marRight w:val="0"/>
      <w:marTop w:val="0"/>
      <w:marBottom w:val="0"/>
      <w:divBdr>
        <w:top w:val="none" w:sz="0" w:space="0" w:color="auto"/>
        <w:left w:val="none" w:sz="0" w:space="0" w:color="auto"/>
        <w:bottom w:val="none" w:sz="0" w:space="0" w:color="auto"/>
        <w:right w:val="none" w:sz="0" w:space="0" w:color="auto"/>
      </w:divBdr>
    </w:div>
    <w:div w:id="1470589820">
      <w:bodyDiv w:val="1"/>
      <w:marLeft w:val="0"/>
      <w:marRight w:val="0"/>
      <w:marTop w:val="0"/>
      <w:marBottom w:val="0"/>
      <w:divBdr>
        <w:top w:val="none" w:sz="0" w:space="0" w:color="auto"/>
        <w:left w:val="none" w:sz="0" w:space="0" w:color="auto"/>
        <w:bottom w:val="none" w:sz="0" w:space="0" w:color="auto"/>
        <w:right w:val="none" w:sz="0" w:space="0" w:color="auto"/>
      </w:divBdr>
    </w:div>
    <w:div w:id="1484353612">
      <w:bodyDiv w:val="1"/>
      <w:marLeft w:val="0"/>
      <w:marRight w:val="0"/>
      <w:marTop w:val="0"/>
      <w:marBottom w:val="0"/>
      <w:divBdr>
        <w:top w:val="none" w:sz="0" w:space="0" w:color="auto"/>
        <w:left w:val="none" w:sz="0" w:space="0" w:color="auto"/>
        <w:bottom w:val="none" w:sz="0" w:space="0" w:color="auto"/>
        <w:right w:val="none" w:sz="0" w:space="0" w:color="auto"/>
      </w:divBdr>
    </w:div>
    <w:div w:id="1487282297">
      <w:bodyDiv w:val="1"/>
      <w:marLeft w:val="0"/>
      <w:marRight w:val="0"/>
      <w:marTop w:val="0"/>
      <w:marBottom w:val="0"/>
      <w:divBdr>
        <w:top w:val="none" w:sz="0" w:space="0" w:color="auto"/>
        <w:left w:val="none" w:sz="0" w:space="0" w:color="auto"/>
        <w:bottom w:val="none" w:sz="0" w:space="0" w:color="auto"/>
        <w:right w:val="none" w:sz="0" w:space="0" w:color="auto"/>
      </w:divBdr>
    </w:div>
    <w:div w:id="1576210594">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23031635">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727019">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2191694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1915048623">
      <w:bodyDiv w:val="1"/>
      <w:marLeft w:val="0"/>
      <w:marRight w:val="0"/>
      <w:marTop w:val="0"/>
      <w:marBottom w:val="0"/>
      <w:divBdr>
        <w:top w:val="none" w:sz="0" w:space="0" w:color="auto"/>
        <w:left w:val="none" w:sz="0" w:space="0" w:color="auto"/>
        <w:bottom w:val="none" w:sz="0" w:space="0" w:color="auto"/>
        <w:right w:val="none" w:sz="0" w:space="0" w:color="auto"/>
      </w:divBdr>
    </w:div>
    <w:div w:id="1916739387">
      <w:bodyDiv w:val="1"/>
      <w:marLeft w:val="0"/>
      <w:marRight w:val="0"/>
      <w:marTop w:val="0"/>
      <w:marBottom w:val="0"/>
      <w:divBdr>
        <w:top w:val="none" w:sz="0" w:space="0" w:color="auto"/>
        <w:left w:val="none" w:sz="0" w:space="0" w:color="auto"/>
        <w:bottom w:val="none" w:sz="0" w:space="0" w:color="auto"/>
        <w:right w:val="none" w:sz="0" w:space="0" w:color="auto"/>
      </w:divBdr>
    </w:div>
    <w:div w:id="2016225740">
      <w:bodyDiv w:val="1"/>
      <w:marLeft w:val="0"/>
      <w:marRight w:val="0"/>
      <w:marTop w:val="0"/>
      <w:marBottom w:val="0"/>
      <w:divBdr>
        <w:top w:val="none" w:sz="0" w:space="0" w:color="auto"/>
        <w:left w:val="none" w:sz="0" w:space="0" w:color="auto"/>
        <w:bottom w:val="none" w:sz="0" w:space="0" w:color="auto"/>
        <w:right w:val="none" w:sz="0" w:space="0" w:color="auto"/>
      </w:divBdr>
    </w:div>
    <w:div w:id="2040546317">
      <w:bodyDiv w:val="1"/>
      <w:marLeft w:val="0"/>
      <w:marRight w:val="0"/>
      <w:marTop w:val="0"/>
      <w:marBottom w:val="0"/>
      <w:divBdr>
        <w:top w:val="none" w:sz="0" w:space="0" w:color="auto"/>
        <w:left w:val="none" w:sz="0" w:space="0" w:color="auto"/>
        <w:bottom w:val="none" w:sz="0" w:space="0" w:color="auto"/>
        <w:right w:val="none" w:sz="0" w:space="0" w:color="auto"/>
      </w:divBdr>
    </w:div>
    <w:div w:id="2072538780">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1E1C1-A241-4903-A66E-6BEE5E78E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5695</Words>
  <Characters>32462</Characters>
  <Application>Microsoft Office Word</Application>
  <DocSecurity>0</DocSecurity>
  <Lines>270</Lines>
  <Paragraphs>76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IULIANA-MIHAELA CERNAZEANU</dc:creator>
  <cp:keywords/>
  <dc:description/>
  <cp:lastModifiedBy>Consuela</cp:lastModifiedBy>
  <cp:revision>7</cp:revision>
  <cp:lastPrinted>2023-04-20T08:02:00Z</cp:lastPrinted>
  <dcterms:created xsi:type="dcterms:W3CDTF">2023-04-25T16:50:00Z</dcterms:created>
  <dcterms:modified xsi:type="dcterms:W3CDTF">2023-04-25T18:01:00Z</dcterms:modified>
</cp:coreProperties>
</file>